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E0" w:rsidRPr="005F7E1A" w:rsidRDefault="001377E0" w:rsidP="00E332CF">
      <w:pPr>
        <w:jc w:val="center"/>
        <w:rPr>
          <w:b/>
          <w:sz w:val="40"/>
          <w:szCs w:val="40"/>
        </w:rPr>
      </w:pPr>
      <w:r w:rsidRPr="005F7E1A">
        <w:rPr>
          <w:b/>
          <w:sz w:val="40"/>
          <w:szCs w:val="40"/>
        </w:rPr>
        <w:t>Metody oceňování podniků</w:t>
      </w:r>
    </w:p>
    <w:p w:rsidR="001377E0" w:rsidRDefault="001377E0" w:rsidP="00E33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Okruhy</w:t>
      </w:r>
      <w:r w:rsidRPr="005F7E1A">
        <w:rPr>
          <w:b/>
          <w:sz w:val="32"/>
          <w:szCs w:val="32"/>
        </w:rPr>
        <w:t xml:space="preserve"> k závěrečné zkoušce</w:t>
      </w:r>
    </w:p>
    <w:p w:rsidR="00CA7FBF" w:rsidRPr="00CA7FBF" w:rsidRDefault="00CA7FBF" w:rsidP="00CA7FBF">
      <w:pPr>
        <w:spacing w:before="120"/>
        <w:jc w:val="center"/>
        <w:rPr>
          <w:b/>
          <w:szCs w:val="32"/>
        </w:rPr>
      </w:pPr>
      <w:r w:rsidRPr="00CA7FBF">
        <w:rPr>
          <w:b/>
          <w:szCs w:val="32"/>
        </w:rPr>
        <w:t>Tyto okruhy platí zároveň i k </w:t>
      </w:r>
      <w:r w:rsidRPr="00542C05">
        <w:rPr>
          <w:b/>
          <w:szCs w:val="32"/>
          <w:u w:val="single"/>
        </w:rPr>
        <w:t>dílčí zkoušce z předmětu Metody oceňování podniku</w:t>
      </w:r>
      <w:r>
        <w:rPr>
          <w:b/>
          <w:szCs w:val="32"/>
        </w:rPr>
        <w:t xml:space="preserve"> s výjimkou </w:t>
      </w:r>
      <w:r w:rsidR="00542C05">
        <w:rPr>
          <w:b/>
          <w:szCs w:val="32"/>
        </w:rPr>
        <w:t>témat oceňování dílčích majetkových položek</w:t>
      </w:r>
      <w:r>
        <w:rPr>
          <w:b/>
          <w:szCs w:val="32"/>
        </w:rPr>
        <w:t>, u kterých je výslovně uvedeno, že jsou pouze pro zkoušku závěrečnou</w:t>
      </w:r>
    </w:p>
    <w:p w:rsidR="001377E0" w:rsidRPr="005F7E1A" w:rsidRDefault="001377E0" w:rsidP="001377E0">
      <w:pPr>
        <w:jc w:val="center"/>
        <w:rPr>
          <w:b/>
          <w:sz w:val="32"/>
          <w:szCs w:val="32"/>
        </w:rPr>
      </w:pP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Podněty pro ocenění podniku, možnosti využití různých metod ocenění podniku pro jednotlivé podněty</w:t>
      </w:r>
      <w:r w:rsidR="007F7776">
        <w:t>.</w:t>
      </w:r>
    </w:p>
    <w:p w:rsidR="001377E0" w:rsidRDefault="007633E5" w:rsidP="00EF05CF">
      <w:pPr>
        <w:numPr>
          <w:ilvl w:val="0"/>
          <w:numId w:val="7"/>
        </w:numPr>
        <w:spacing w:after="100"/>
        <w:ind w:left="357" w:hanging="357"/>
      </w:pPr>
      <w:r>
        <w:t xml:space="preserve">Báze </w:t>
      </w:r>
      <w:r w:rsidR="001377E0">
        <w:t>hodnoty (tržní, subjektivní, objektivizovaná</w:t>
      </w:r>
      <w:r>
        <w:t>, fair value, investiční</w:t>
      </w:r>
      <w:r w:rsidR="001377E0">
        <w:t>), principy, využití, definice</w:t>
      </w:r>
      <w:r w:rsidR="00342C97">
        <w:t xml:space="preserve"> </w:t>
      </w:r>
      <w:r w:rsidR="001377E0">
        <w:t>tržní hodnoty, specifika trhu s</w:t>
      </w:r>
      <w:r>
        <w:t> </w:t>
      </w:r>
      <w:r w:rsidR="001377E0">
        <w:t>podniky</w:t>
      </w:r>
      <w:r>
        <w:t>. Základní rysy objektivizované hodnoty</w:t>
      </w:r>
      <w:r w:rsidR="00E64D36">
        <w:t>, odlišnosti oproti tržní hodnotě</w:t>
      </w:r>
      <w:r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Kolínská škola pro oceňování podniků</w:t>
      </w:r>
      <w:r w:rsidR="007F7776">
        <w:t>.</w:t>
      </w:r>
    </w:p>
    <w:p w:rsidR="00046D2D" w:rsidRDefault="00046D2D" w:rsidP="00EF05CF">
      <w:pPr>
        <w:numPr>
          <w:ilvl w:val="0"/>
          <w:numId w:val="7"/>
        </w:numPr>
        <w:spacing w:after="100"/>
        <w:ind w:left="357" w:hanging="357"/>
      </w:pPr>
      <w:r>
        <w:t>Vliv volby hodnotové báze na postup vlastního ocenění podniku.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Přehled metod pro oceňování podniku, základní principy, porovnání, rozdíly mezi nimi, výhody a nevýhody, situace, pro které jsou jednotlivé metody vhodné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Strategická analýza (analýza potenciálu) při oceňování podniku</w:t>
      </w:r>
      <w:r w:rsidR="007633E5">
        <w:t xml:space="preserve">, její fáze, účel, </w:t>
      </w:r>
      <w:r w:rsidR="00E64D36">
        <w:t xml:space="preserve">hlavní </w:t>
      </w:r>
      <w:r w:rsidR="007633E5">
        <w:t>výstupy</w:t>
      </w:r>
      <w:r w:rsidR="008155A4">
        <w:t>, dlouhodobé odhady tempa růstu g pro druhou fázi</w:t>
      </w:r>
      <w:r w:rsidR="007633E5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Význam a funkce finanční analýzy pro různé metody ocenění podniku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Hlavní ukazatele pro finanční analýzu v rámci oceňování podniku a jejich vypovídací schopnost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Generátory hodnoty podniku, vymezení, význam v oceňování podniku,</w:t>
      </w:r>
      <w:r w:rsidR="00342C97">
        <w:t xml:space="preserve"> </w:t>
      </w:r>
      <w:r>
        <w:t xml:space="preserve">postupy jejich </w:t>
      </w:r>
      <w:r w:rsidR="007F7776">
        <w:t>prognózování.</w:t>
      </w:r>
      <w:r w:rsidR="008155A4">
        <w:t xml:space="preserve"> Problémy plánování investic</w:t>
      </w:r>
      <w:r w:rsidR="008243D5">
        <w:t>.</w:t>
      </w:r>
    </w:p>
    <w:p w:rsidR="001377E0" w:rsidRDefault="004B4AFB" w:rsidP="00EF05CF">
      <w:pPr>
        <w:numPr>
          <w:ilvl w:val="0"/>
          <w:numId w:val="7"/>
        </w:numPr>
        <w:spacing w:after="100"/>
        <w:ind w:left="357" w:hanging="357"/>
      </w:pPr>
      <w:r>
        <w:t>F</w:t>
      </w:r>
      <w:r w:rsidR="001377E0">
        <w:t>inanční plánování pro výnosové ocenění podniku,</w:t>
      </w:r>
      <w:r>
        <w:t xml:space="preserve"> zásadní odlišnosti oproti </w:t>
      </w:r>
      <w:r w:rsidR="003C5E55" w:rsidRPr="003073CC">
        <w:t>obvyklému</w:t>
      </w:r>
      <w:r w:rsidR="003C5E55">
        <w:t xml:space="preserve"> </w:t>
      </w:r>
      <w:r>
        <w:t xml:space="preserve">finančnímu plánu podniku, </w:t>
      </w:r>
      <w:r w:rsidR="001377E0">
        <w:t>základní</w:t>
      </w:r>
      <w:r>
        <w:t xml:space="preserve"> </w:t>
      </w:r>
      <w:r w:rsidR="001377E0">
        <w:t>postupy sestavení plánu</w:t>
      </w:r>
      <w:r>
        <w:t xml:space="preserve">. </w:t>
      </w:r>
      <w:r w:rsidR="007633E5">
        <w:t>Hlavní složky fina</w:t>
      </w:r>
      <w:r w:rsidR="007F7776">
        <w:t>n</w:t>
      </w:r>
      <w:r w:rsidR="007633E5">
        <w:t>čního plánu pro ocenění.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Metoda DCF, podstata, postup při jejím použití, zhodnocení metody</w:t>
      </w:r>
      <w:r w:rsidR="007633E5">
        <w:t xml:space="preserve">. </w:t>
      </w:r>
      <w:r>
        <w:t xml:space="preserve">Pojem volné </w:t>
      </w:r>
      <w:r w:rsidR="00E47051">
        <w:t>peněžní toky, ekonomický význam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Provozně nutný investovaný kapitál, jeho vymezení, význam a využití</w:t>
      </w:r>
      <w:r w:rsidR="00342C97">
        <w:t xml:space="preserve"> </w:t>
      </w:r>
      <w:r>
        <w:t>při oceňování podniku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Varianty metody DCF, způsoby výpočtu, související problémy</w:t>
      </w:r>
      <w:r w:rsidR="00324FE4">
        <w:t>, jejich porovnání, výhody a nevýhody</w:t>
      </w:r>
      <w:r w:rsidR="00680B02">
        <w:t xml:space="preserve"> jednotlivých variant</w:t>
      </w:r>
      <w:r w:rsidR="00324FE4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Pokračující hodnota podniku v rámci výnosových metod, podstata, metody</w:t>
      </w:r>
      <w:r w:rsidR="00342C97">
        <w:t xml:space="preserve"> </w:t>
      </w:r>
      <w:r>
        <w:t>jejího stanovení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Parametrický model pro stanovení pokračující hodnoty, podstata, způsoby</w:t>
      </w:r>
      <w:r w:rsidR="00342C97">
        <w:t xml:space="preserve"> </w:t>
      </w:r>
      <w:r>
        <w:t>odhadu jednotlivých parametrů</w:t>
      </w:r>
      <w:r w:rsidR="004B4AFB">
        <w:t xml:space="preserve">, porovnání s </w:t>
      </w:r>
      <w:r w:rsidR="007F7776">
        <w:t>Gordonovým</w:t>
      </w:r>
      <w:r w:rsidR="004B4AFB">
        <w:t xml:space="preserve"> modelem.</w:t>
      </w:r>
      <w:r w:rsidR="00E64D36">
        <w:t xml:space="preserve"> Hlavní přednost parametrického modelu</w:t>
      </w:r>
      <w:r w:rsidR="008155A4">
        <w:t xml:space="preserve"> oproti </w:t>
      </w:r>
      <w:proofErr w:type="spellStart"/>
      <w:r w:rsidR="008155A4">
        <w:t>Gordonovu</w:t>
      </w:r>
      <w:proofErr w:type="spellEnd"/>
      <w:r w:rsidR="008155A4">
        <w:t xml:space="preserve"> modelu.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Metoda kapitalizovaných čistých výnosů, podstata, postup</w:t>
      </w:r>
      <w:r w:rsidR="007F7776">
        <w:t>,</w:t>
      </w:r>
      <w:r>
        <w:t xml:space="preserve"> použití, varianty</w:t>
      </w:r>
      <w:r w:rsidR="007F7776">
        <w:t>.</w:t>
      </w:r>
      <w:r w:rsidR="008155A4">
        <w:t xml:space="preserve"> Investice v rámci metody kapitalizovaných zisků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Porovnání metody DCF a metody kapitalizovaných čistých výnosů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Kombinované metody oceňování podniku, jejich podstata, druhy a zhodnocení</w:t>
      </w:r>
      <w:r w:rsidR="00342C97">
        <w:t xml:space="preserve"> </w:t>
      </w:r>
      <w:r>
        <w:t>těchto metod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Ekonomická přidaná hodnota, vymezení, základní způsoby výpočtu, možnosti</w:t>
      </w:r>
      <w:r w:rsidR="00342C97">
        <w:t xml:space="preserve"> </w:t>
      </w:r>
      <w:r>
        <w:t>využití ukazatele EVA, základní pojmy související s metodou EVA</w:t>
      </w:r>
      <w:r w:rsidR="00680B02">
        <w:t>, porovnání s metodou DCF.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Doporučené úpravy účetních výkazů pro správný výpočet ekonomické přidané</w:t>
      </w:r>
      <w:r w:rsidR="00342C97">
        <w:t xml:space="preserve"> </w:t>
      </w:r>
      <w:r>
        <w:t>hodnoty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MVA (tržní přidaná hodnota), vymezení a její podstata, způsob výpočtu, využití pro ocenění podniku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Přehled základních principů pro stanovení kalkulované úrokové míry pro jednotlivé výnosové metody oceňování podniků</w:t>
      </w:r>
      <w:r w:rsidR="007F7776">
        <w:t>.</w:t>
      </w:r>
      <w:r w:rsidR="008155A4">
        <w:t xml:space="preserve"> Například princip symetrie.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lastRenderedPageBreak/>
        <w:t>Způsoby odhadu nákladů vlastního kapitálu a jejich využití při oceňování podniku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Model oceňování kapitálových aktiv a jeho využití při oceňování podniku,</w:t>
      </w:r>
      <w:r w:rsidR="00342C97">
        <w:t xml:space="preserve"> </w:t>
      </w:r>
      <w:r>
        <w:t>omezení, náhradní postupy jeho aplikace</w:t>
      </w:r>
      <w:r w:rsidR="004B4AFB">
        <w:t>.</w:t>
      </w:r>
      <w:r w:rsidR="00324FE4">
        <w:t xml:space="preserve"> Postupy pro stanovení jednotlivých prvků modelu CAPM.</w:t>
      </w:r>
      <w:r w:rsidR="00046D2D">
        <w:t xml:space="preserve"> </w:t>
      </w:r>
    </w:p>
    <w:p w:rsidR="00046D2D" w:rsidRDefault="00046D2D" w:rsidP="00EF05CF">
      <w:pPr>
        <w:numPr>
          <w:ilvl w:val="0"/>
          <w:numId w:val="7"/>
        </w:numPr>
        <w:spacing w:after="100"/>
        <w:ind w:left="357" w:hanging="357"/>
      </w:pPr>
      <w:r>
        <w:t xml:space="preserve">Odhady bezrizikové výnosové míry a rizikové prémie. </w:t>
      </w:r>
    </w:p>
    <w:p w:rsidR="004B4AFB" w:rsidRDefault="004B4AFB" w:rsidP="00EF05CF">
      <w:pPr>
        <w:numPr>
          <w:ilvl w:val="0"/>
          <w:numId w:val="7"/>
        </w:numPr>
        <w:spacing w:after="100"/>
        <w:ind w:left="357" w:hanging="357"/>
      </w:pPr>
      <w:r>
        <w:t>Stavebnicová metoda jako metoda pro odhad nákladů vlastního kapitálu</w:t>
      </w:r>
      <w:r w:rsidR="00E2540A">
        <w:t>.</w:t>
      </w:r>
    </w:p>
    <w:p w:rsidR="00E2540A" w:rsidRDefault="00E2540A" w:rsidP="00EF05CF">
      <w:pPr>
        <w:numPr>
          <w:ilvl w:val="0"/>
          <w:numId w:val="7"/>
        </w:numPr>
        <w:spacing w:after="100"/>
        <w:ind w:left="357" w:hanging="357"/>
      </w:pPr>
      <w:r>
        <w:t>Diskontní míra pro investora bez možnosti diverzifikace.</w:t>
      </w:r>
    </w:p>
    <w:p w:rsidR="00CA7FBF" w:rsidRDefault="00CA7FBF" w:rsidP="00EF05CF">
      <w:pPr>
        <w:numPr>
          <w:ilvl w:val="0"/>
          <w:numId w:val="7"/>
        </w:numPr>
        <w:spacing w:after="100"/>
        <w:ind w:left="357" w:hanging="357"/>
      </w:pPr>
      <w:r>
        <w:t>Náklady vlastního kapitálu odhadované metodou ex-ante</w:t>
      </w:r>
      <w:r w:rsidR="00046D2D">
        <w:t>, riziková prémie kapitálového trhu ex ante.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Problém kapitálové struktury při výnosovém ocenění podniku, podstata, vliv</w:t>
      </w:r>
      <w:r w:rsidR="00342C97">
        <w:t xml:space="preserve"> </w:t>
      </w:r>
      <w:r>
        <w:t>na hodnotu podniku, možnosti řešení</w:t>
      </w:r>
      <w:r w:rsidR="004B4AFB">
        <w:t>.</w:t>
      </w:r>
      <w:r w:rsidR="00762F42">
        <w:t xml:space="preserve"> Iterační metoda, metoda cílové stru</w:t>
      </w:r>
      <w:r w:rsidR="008243D5">
        <w:t>k</w:t>
      </w:r>
      <w:r w:rsidR="00762F42">
        <w:t>tury.</w:t>
      </w:r>
    </w:p>
    <w:p w:rsidR="004B4AFB" w:rsidRDefault="004B4AFB" w:rsidP="00EF05CF">
      <w:pPr>
        <w:numPr>
          <w:ilvl w:val="0"/>
          <w:numId w:val="7"/>
        </w:numPr>
        <w:spacing w:after="100"/>
        <w:ind w:left="357" w:hanging="357"/>
      </w:pPr>
      <w:r>
        <w:t>Reagenční funkce při odhadu nákladů vlastního kapitálu</w:t>
      </w:r>
      <w:r w:rsidR="00324FE4">
        <w:t xml:space="preserve">. Reagenční funkce dle </w:t>
      </w:r>
      <w:r w:rsidR="007F7776">
        <w:t xml:space="preserve">modelu </w:t>
      </w:r>
      <w:proofErr w:type="spellStart"/>
      <w:r w:rsidR="007F7776">
        <w:t>Miller</w:t>
      </w:r>
      <w:proofErr w:type="spellEnd"/>
      <w:r w:rsidR="007F7776">
        <w:t>-</w:t>
      </w:r>
      <w:proofErr w:type="spellStart"/>
      <w:r w:rsidR="007F7776">
        <w:t>Modigliani</w:t>
      </w:r>
      <w:proofErr w:type="spellEnd"/>
      <w:r w:rsidR="00324FE4">
        <w:t>, modifikovaná</w:t>
      </w:r>
      <w:r w:rsidR="00046D2D">
        <w:t xml:space="preserve"> reagenční </w:t>
      </w:r>
      <w:r w:rsidR="00324FE4">
        <w:t>funkce mající obecné použití.</w:t>
      </w:r>
    </w:p>
    <w:p w:rsidR="00542C05" w:rsidRDefault="00542C05" w:rsidP="00EF05CF">
      <w:pPr>
        <w:numPr>
          <w:ilvl w:val="0"/>
          <w:numId w:val="7"/>
        </w:numPr>
        <w:spacing w:after="100"/>
        <w:ind w:left="357" w:hanging="357"/>
      </w:pPr>
      <w:r>
        <w:t>Oceňování výnosově slabých podniků, amortizační hodnota.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 xml:space="preserve">Ocenění podniku na základě analýzy majetku, </w:t>
      </w:r>
      <w:r w:rsidR="007F7776">
        <w:t xml:space="preserve">různé </w:t>
      </w:r>
      <w:r>
        <w:t>metody majetkového ocenění,</w:t>
      </w:r>
      <w:r w:rsidR="00342C97">
        <w:t xml:space="preserve"> </w:t>
      </w:r>
      <w:r>
        <w:t>funkce, přednosti a nedostatky</w:t>
      </w:r>
      <w:r w:rsidR="007F7776">
        <w:t xml:space="preserve"> jednotlivých metod</w:t>
      </w:r>
      <w:r>
        <w:t>, možnosti využití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Oceňování technologických zařízení v rámci substanční hodnoty podniku</w:t>
      </w:r>
      <w:r w:rsidR="007F7776">
        <w:t>.</w:t>
      </w:r>
      <w:r w:rsidR="00CA7FBF">
        <w:t xml:space="preserve"> </w:t>
      </w:r>
      <w:r w:rsidR="00CA7FBF" w:rsidRPr="00CA7FBF">
        <w:rPr>
          <w:b/>
          <w:i/>
        </w:rPr>
        <w:t>(pouze pro závěrečnou zkoušku)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Oceňování oběžného majetku podniku, zejména pohledávek</w:t>
      </w:r>
      <w:r w:rsidR="007F7776">
        <w:t>.</w:t>
      </w:r>
      <w:r w:rsidR="00CA7FBF" w:rsidRPr="00CA7FBF">
        <w:rPr>
          <w:b/>
          <w:i/>
        </w:rPr>
        <w:t xml:space="preserve"> (pouze pro závěrečnou zkoušku)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Vynález a průmyslový vzor, základní vymezení, rozdíly, význam v rámci hodnoty</w:t>
      </w:r>
      <w:r w:rsidR="00342C97">
        <w:t xml:space="preserve"> </w:t>
      </w:r>
      <w:r>
        <w:t>podniku, možné přístupy k</w:t>
      </w:r>
      <w:r w:rsidR="007F7776">
        <w:t> </w:t>
      </w:r>
      <w:r>
        <w:t>ocenění</w:t>
      </w:r>
      <w:r w:rsidR="007F7776">
        <w:t>.</w:t>
      </w:r>
      <w:r w:rsidR="00CA7FBF" w:rsidRPr="00CA7FBF">
        <w:rPr>
          <w:b/>
          <w:i/>
        </w:rPr>
        <w:t xml:space="preserve"> (pouze pro závěrečnou zkoušku)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Ochranná známka, základní vymezení a právní souvislosti, možné přístupy</w:t>
      </w:r>
      <w:r w:rsidR="00342C97">
        <w:t xml:space="preserve"> </w:t>
      </w:r>
      <w:r>
        <w:t>k jejímu ocenění</w:t>
      </w:r>
      <w:r w:rsidR="007F7776">
        <w:t>.</w:t>
      </w:r>
      <w:r w:rsidR="00CA7FBF" w:rsidRPr="00CA7FBF">
        <w:rPr>
          <w:b/>
          <w:i/>
        </w:rPr>
        <w:t xml:space="preserve"> (pouze pro závěrečnou zkoušku)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Ocenění podniku na základě analýzy trhu, metody, postupy, zhodnocení</w:t>
      </w:r>
      <w:r w:rsidR="007F7776">
        <w:t>.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Násobitele, vymezení, druhy, využití v rámci ocenění podniku</w:t>
      </w:r>
      <w:r w:rsidR="007F7776">
        <w:t>.</w:t>
      </w:r>
    </w:p>
    <w:p w:rsidR="003C5E55" w:rsidRPr="003073CC" w:rsidRDefault="003C5E55" w:rsidP="00EF05CF">
      <w:pPr>
        <w:numPr>
          <w:ilvl w:val="0"/>
          <w:numId w:val="7"/>
        </w:numPr>
        <w:spacing w:after="100"/>
        <w:ind w:left="357" w:hanging="357"/>
      </w:pPr>
      <w:r w:rsidRPr="003073CC">
        <w:rPr>
          <w:rFonts w:eastAsia="Calibri"/>
        </w:rPr>
        <w:t>Vztah mezi metodou tržního porovnání a výnosovými metodami včetně algebraicky vyjádřených vazeb mezi vybranými násobiteli a hlavními parametry výnosového ocenění</w:t>
      </w:r>
    </w:p>
    <w:p w:rsidR="001377E0" w:rsidRDefault="001377E0" w:rsidP="00EF05CF">
      <w:pPr>
        <w:numPr>
          <w:ilvl w:val="0"/>
          <w:numId w:val="7"/>
        </w:numPr>
        <w:spacing w:after="100"/>
        <w:ind w:left="357" w:hanging="357"/>
      </w:pPr>
      <w:r>
        <w:t>Souhrnné ocenění podniku</w:t>
      </w:r>
      <w:r w:rsidR="00046D2D">
        <w:t xml:space="preserve"> (vyvozov</w:t>
      </w:r>
      <w:r w:rsidR="003C5E55">
        <w:t>á</w:t>
      </w:r>
      <w:r w:rsidR="00046D2D">
        <w:t>ní výsledného hodnoty)</w:t>
      </w:r>
      <w:r>
        <w:t xml:space="preserve"> a problémové okruhy s ním spojené</w:t>
      </w:r>
      <w:r w:rsidR="007F7776">
        <w:t>.</w:t>
      </w:r>
    </w:p>
    <w:p w:rsidR="003C5E55" w:rsidRPr="003073CC" w:rsidRDefault="003C5E55" w:rsidP="00EF05CF">
      <w:pPr>
        <w:numPr>
          <w:ilvl w:val="0"/>
          <w:numId w:val="7"/>
        </w:numPr>
        <w:spacing w:after="100"/>
        <w:ind w:left="357" w:hanging="357"/>
      </w:pPr>
      <w:r w:rsidRPr="003073CC">
        <w:t xml:space="preserve">Problematika diskontů a prémií za velikost a obchodovatelnost oceňovaného vlastnického podílu. </w:t>
      </w:r>
    </w:p>
    <w:p w:rsidR="001377E0" w:rsidRDefault="001377E0" w:rsidP="00BF6E14">
      <w:pPr>
        <w:numPr>
          <w:ilvl w:val="0"/>
          <w:numId w:val="7"/>
        </w:numPr>
        <w:spacing w:after="360"/>
        <w:ind w:left="357" w:hanging="357"/>
      </w:pPr>
      <w:r>
        <w:t>Synergie, podstata, zdroje, možnosti ocenění</w:t>
      </w:r>
      <w:r w:rsidR="007F7776">
        <w:t>.</w:t>
      </w:r>
    </w:p>
    <w:p w:rsidR="00E47051" w:rsidRPr="00E47051" w:rsidRDefault="00E47051" w:rsidP="00EF05CF">
      <w:pPr>
        <w:spacing w:before="360" w:after="120"/>
        <w:rPr>
          <w:b/>
        </w:rPr>
      </w:pPr>
      <w:r w:rsidRPr="00E47051">
        <w:rPr>
          <w:b/>
        </w:rPr>
        <w:t>Témata příkladů:</w:t>
      </w:r>
    </w:p>
    <w:p w:rsidR="00E47051" w:rsidRDefault="00E47051" w:rsidP="00EF05CF">
      <w:pPr>
        <w:numPr>
          <w:ilvl w:val="0"/>
          <w:numId w:val="14"/>
        </w:numPr>
        <w:spacing w:after="80"/>
        <w:ind w:left="357" w:hanging="357"/>
      </w:pPr>
      <w:r>
        <w:t>Provozně nutný investovaný kapitál, investice do provozně nutného investovaného kapitálu</w:t>
      </w:r>
      <w:r w:rsidR="008243D5">
        <w:t xml:space="preserve"> brutto a netto</w:t>
      </w:r>
      <w:r>
        <w:t xml:space="preserve">, volné peněžní toky pro metodu </w:t>
      </w:r>
      <w:r w:rsidR="003F2BA3">
        <w:t xml:space="preserve">DCF entity, </w:t>
      </w:r>
      <w:r w:rsidR="008243D5">
        <w:t xml:space="preserve">DCF </w:t>
      </w:r>
      <w:r w:rsidR="003F2BA3">
        <w:t>equity</w:t>
      </w:r>
      <w:r w:rsidR="008243D5">
        <w:t>,</w:t>
      </w:r>
      <w:r w:rsidR="003F2BA3">
        <w:t xml:space="preserve"> </w:t>
      </w:r>
      <w:r w:rsidR="008243D5">
        <w:t xml:space="preserve">DCF </w:t>
      </w:r>
      <w:r w:rsidR="003F2BA3">
        <w:t>APV</w:t>
      </w:r>
    </w:p>
    <w:p w:rsidR="00762F42" w:rsidRDefault="008243D5" w:rsidP="00EF05CF">
      <w:pPr>
        <w:numPr>
          <w:ilvl w:val="0"/>
          <w:numId w:val="14"/>
        </w:numPr>
        <w:spacing w:after="80"/>
        <w:ind w:left="357" w:hanging="357"/>
      </w:pPr>
      <w:r>
        <w:t>Ocenění metodou DCF entity</w:t>
      </w:r>
    </w:p>
    <w:p w:rsidR="008243D5" w:rsidRDefault="00762F42" w:rsidP="00EF05CF">
      <w:pPr>
        <w:numPr>
          <w:ilvl w:val="0"/>
          <w:numId w:val="14"/>
        </w:numPr>
        <w:spacing w:after="80"/>
        <w:ind w:left="357" w:hanging="357"/>
      </w:pPr>
      <w:r>
        <w:t>Ocenění metodou DCF</w:t>
      </w:r>
      <w:r w:rsidR="008243D5">
        <w:t xml:space="preserve"> </w:t>
      </w:r>
      <w:r w:rsidR="00E47051">
        <w:t xml:space="preserve">equity </w:t>
      </w:r>
    </w:p>
    <w:p w:rsidR="00E47051" w:rsidRDefault="008243D5" w:rsidP="00EF05CF">
      <w:pPr>
        <w:numPr>
          <w:ilvl w:val="0"/>
          <w:numId w:val="14"/>
        </w:numPr>
        <w:spacing w:after="80"/>
        <w:ind w:left="357" w:hanging="357"/>
      </w:pPr>
      <w:r>
        <w:t xml:space="preserve">Ocenění metodou DCF </w:t>
      </w:r>
      <w:r w:rsidR="00E47051">
        <w:t>APV</w:t>
      </w:r>
    </w:p>
    <w:p w:rsidR="00E47051" w:rsidRDefault="00E47051" w:rsidP="00EF05CF">
      <w:pPr>
        <w:numPr>
          <w:ilvl w:val="0"/>
          <w:numId w:val="14"/>
        </w:numPr>
        <w:spacing w:after="80"/>
        <w:ind w:left="357" w:hanging="357"/>
      </w:pPr>
      <w:r>
        <w:t>Pokračující hodnota počítaná různými variantami, zejména parametrickým vzorcem</w:t>
      </w:r>
    </w:p>
    <w:p w:rsidR="00E47051" w:rsidRDefault="00E47051" w:rsidP="00EF05CF">
      <w:pPr>
        <w:numPr>
          <w:ilvl w:val="0"/>
          <w:numId w:val="14"/>
        </w:numPr>
        <w:spacing w:after="80"/>
        <w:ind w:left="357" w:hanging="357"/>
      </w:pPr>
      <w:r>
        <w:t>Ocenění metodou DCF s vylaďováním kapitálové struktury</w:t>
      </w:r>
      <w:r w:rsidR="008243D5">
        <w:t>, reagenční funkce pro odhad nákladů vlastního kapitálu</w:t>
      </w:r>
    </w:p>
    <w:p w:rsidR="00E47051" w:rsidRDefault="00E47051" w:rsidP="00EF05CF">
      <w:pPr>
        <w:numPr>
          <w:ilvl w:val="0"/>
          <w:numId w:val="14"/>
        </w:numPr>
        <w:spacing w:after="80"/>
        <w:ind w:left="357" w:hanging="357"/>
      </w:pPr>
      <w:r>
        <w:t>Ocenění metodou EVA</w:t>
      </w:r>
    </w:p>
    <w:p w:rsidR="003F2BA3" w:rsidRDefault="003F2BA3" w:rsidP="00EF05CF">
      <w:pPr>
        <w:numPr>
          <w:ilvl w:val="0"/>
          <w:numId w:val="14"/>
        </w:numPr>
        <w:spacing w:after="80"/>
        <w:ind w:left="357" w:hanging="357"/>
      </w:pPr>
      <w:r>
        <w:t>Ocenění metodou kapitalizovaných čistých výnosů</w:t>
      </w:r>
    </w:p>
    <w:p w:rsidR="00E47051" w:rsidRDefault="00E47051" w:rsidP="00EF05CF">
      <w:pPr>
        <w:numPr>
          <w:ilvl w:val="0"/>
          <w:numId w:val="14"/>
        </w:numPr>
        <w:spacing w:after="80"/>
        <w:ind w:left="357" w:hanging="357"/>
      </w:pPr>
      <w:r>
        <w:lastRenderedPageBreak/>
        <w:t xml:space="preserve">Ocenění metodou tržního porovnání pomocí násobitelů typu entity (tj. založených na </w:t>
      </w:r>
      <w:proofErr w:type="spellStart"/>
      <w:r>
        <w:t>enterprise</w:t>
      </w:r>
      <w:proofErr w:type="spellEnd"/>
      <w:r>
        <w:t xml:space="preserve"> value) </w:t>
      </w:r>
      <w:r w:rsidR="003F2BA3">
        <w:t>i equity</w:t>
      </w:r>
      <w:r w:rsidR="004A606D">
        <w:t>.</w:t>
      </w:r>
    </w:p>
    <w:p w:rsidR="00F36180" w:rsidRDefault="00F36180" w:rsidP="00EF05CF">
      <w:pPr>
        <w:numPr>
          <w:ilvl w:val="0"/>
          <w:numId w:val="14"/>
        </w:numPr>
        <w:spacing w:after="80"/>
        <w:ind w:left="357" w:hanging="357"/>
      </w:pPr>
      <w:r>
        <w:t xml:space="preserve">Ocenění technologických zařízení (kniha Metody oceňování podniku, kap. </w:t>
      </w:r>
      <w:proofErr w:type="gramStart"/>
      <w:r>
        <w:t>6.4.2)</w:t>
      </w:r>
      <w:r w:rsidR="00CA7FBF">
        <w:t xml:space="preserve"> </w:t>
      </w:r>
      <w:r w:rsidR="00CA7FBF" w:rsidRPr="00CA7FBF">
        <w:rPr>
          <w:b/>
          <w:i/>
        </w:rPr>
        <w:t>(pouze</w:t>
      </w:r>
      <w:proofErr w:type="gramEnd"/>
      <w:r w:rsidR="00CA7FBF" w:rsidRPr="00CA7FBF">
        <w:rPr>
          <w:b/>
          <w:i/>
        </w:rPr>
        <w:t xml:space="preserve"> pro závěrečnou zkoušku)</w:t>
      </w:r>
    </w:p>
    <w:p w:rsidR="00F36180" w:rsidRDefault="00F36180" w:rsidP="00F36180">
      <w:pPr>
        <w:numPr>
          <w:ilvl w:val="0"/>
          <w:numId w:val="14"/>
        </w:numPr>
        <w:spacing w:after="120"/>
        <w:ind w:left="357" w:hanging="357"/>
      </w:pPr>
      <w:r>
        <w:t xml:space="preserve">Ocenění nehmotného majetku metodou licenční analogie (kniha Metody oceňování podniku, kap. 6.9.7.2 a </w:t>
      </w:r>
      <w:proofErr w:type="gramStart"/>
      <w:r>
        <w:t>6.9.8)</w:t>
      </w:r>
      <w:r w:rsidR="00CA7FBF">
        <w:t xml:space="preserve"> </w:t>
      </w:r>
      <w:r w:rsidR="00CA7FBF" w:rsidRPr="00CA7FBF">
        <w:rPr>
          <w:b/>
          <w:i/>
        </w:rPr>
        <w:t>(pouze</w:t>
      </w:r>
      <w:proofErr w:type="gramEnd"/>
      <w:r w:rsidR="00CA7FBF" w:rsidRPr="00CA7FBF">
        <w:rPr>
          <w:b/>
          <w:i/>
        </w:rPr>
        <w:t xml:space="preserve"> pro závěrečnou zkoušku)</w:t>
      </w:r>
    </w:p>
    <w:p w:rsidR="00AD713A" w:rsidRPr="00AD713A" w:rsidRDefault="00F3028A" w:rsidP="003C5E55">
      <w:pPr>
        <w:keepNext/>
        <w:spacing w:before="360" w:after="240"/>
        <w:jc w:val="center"/>
        <w:rPr>
          <w:b/>
          <w:i/>
          <w:sz w:val="28"/>
          <w:szCs w:val="28"/>
        </w:rPr>
      </w:pPr>
      <w:r w:rsidRPr="00AD713A">
        <w:rPr>
          <w:b/>
          <w:i/>
          <w:sz w:val="28"/>
          <w:szCs w:val="28"/>
        </w:rPr>
        <w:t>Obsah zkoušky je vymezen</w:t>
      </w:r>
      <w:r w:rsidR="00AD713A" w:rsidRPr="00AD713A">
        <w:rPr>
          <w:b/>
          <w:i/>
          <w:sz w:val="28"/>
          <w:szCs w:val="28"/>
        </w:rPr>
        <w:t>:</w:t>
      </w:r>
    </w:p>
    <w:p w:rsidR="00AD713A" w:rsidRDefault="00F3028A" w:rsidP="00EF05CF">
      <w:pPr>
        <w:keepNext/>
        <w:numPr>
          <w:ilvl w:val="0"/>
          <w:numId w:val="15"/>
        </w:numPr>
        <w:spacing w:before="240" w:after="240"/>
        <w:ind w:left="360"/>
        <w:rPr>
          <w:b/>
        </w:rPr>
      </w:pPr>
      <w:r w:rsidRPr="00E47051">
        <w:rPr>
          <w:b/>
        </w:rPr>
        <w:t>přednáškami a cvičeními z</w:t>
      </w:r>
      <w:r w:rsidR="00BF6E14">
        <w:rPr>
          <w:b/>
        </w:rPr>
        <w:t xml:space="preserve"> předmětu </w:t>
      </w:r>
      <w:r w:rsidRPr="00E47051">
        <w:rPr>
          <w:b/>
        </w:rPr>
        <w:t>Metod</w:t>
      </w:r>
      <w:r w:rsidR="00BF6E14">
        <w:rPr>
          <w:b/>
        </w:rPr>
        <w:t>y</w:t>
      </w:r>
      <w:r w:rsidRPr="00E47051">
        <w:rPr>
          <w:b/>
        </w:rPr>
        <w:t xml:space="preserve"> oceňování podniku</w:t>
      </w:r>
    </w:p>
    <w:p w:rsidR="00AD713A" w:rsidRPr="00AD713A" w:rsidRDefault="00AD713A" w:rsidP="00EF05CF">
      <w:pPr>
        <w:keepNext/>
        <w:numPr>
          <w:ilvl w:val="0"/>
          <w:numId w:val="15"/>
        </w:numPr>
        <w:spacing w:before="240" w:after="240"/>
        <w:ind w:left="360"/>
        <w:rPr>
          <w:b/>
        </w:rPr>
      </w:pPr>
      <w:r>
        <w:rPr>
          <w:b/>
        </w:rPr>
        <w:t xml:space="preserve">publikací </w:t>
      </w:r>
      <w:r>
        <w:rPr>
          <w:b/>
          <w:sz w:val="22"/>
          <w:szCs w:val="22"/>
        </w:rPr>
        <w:t>Mařík, M. a kol.: Metody oceňování podniku</w:t>
      </w:r>
      <w:r w:rsidR="00D80458">
        <w:rPr>
          <w:b/>
          <w:sz w:val="22"/>
          <w:szCs w:val="22"/>
        </w:rPr>
        <w:t xml:space="preserve"> (proces ocenění, základní postupy a metody)</w:t>
      </w:r>
      <w:r>
        <w:rPr>
          <w:sz w:val="22"/>
          <w:szCs w:val="22"/>
        </w:rPr>
        <w:t xml:space="preserve">, </w:t>
      </w:r>
      <w:r>
        <w:rPr>
          <w:b/>
          <w:sz w:val="22"/>
        </w:rPr>
        <w:t>3. vydání, EKOPRESS 2011</w:t>
      </w:r>
    </w:p>
    <w:p w:rsidR="001D45E0" w:rsidRPr="001D45E0" w:rsidRDefault="00AD713A" w:rsidP="00EF05CF">
      <w:pPr>
        <w:keepNext/>
        <w:numPr>
          <w:ilvl w:val="0"/>
          <w:numId w:val="15"/>
        </w:numPr>
        <w:spacing w:before="240" w:after="240"/>
        <w:ind w:left="360"/>
        <w:rPr>
          <w:b/>
        </w:rPr>
      </w:pPr>
      <w:r>
        <w:rPr>
          <w:b/>
          <w:sz w:val="22"/>
          <w:szCs w:val="22"/>
        </w:rPr>
        <w:t xml:space="preserve">publikací Mařík, M. a kol.: </w:t>
      </w:r>
      <w:r w:rsidRPr="00A96CD6">
        <w:rPr>
          <w:b/>
          <w:sz w:val="22"/>
          <w:szCs w:val="22"/>
        </w:rPr>
        <w:t>Metody oceňování podniku pro pokročilé (</w:t>
      </w:r>
      <w:r>
        <w:rPr>
          <w:b/>
          <w:sz w:val="22"/>
          <w:szCs w:val="22"/>
        </w:rPr>
        <w:t>hlubší pohled na vybrané problémy)</w:t>
      </w:r>
      <w:r>
        <w:rPr>
          <w:sz w:val="22"/>
          <w:szCs w:val="22"/>
        </w:rPr>
        <w:t xml:space="preserve">, </w:t>
      </w:r>
      <w:r>
        <w:rPr>
          <w:b/>
          <w:sz w:val="22"/>
        </w:rPr>
        <w:t xml:space="preserve">1. vydání, EKOPRESS </w:t>
      </w:r>
      <w:smartTag w:uri="urn:schemas-microsoft-com:office:smarttags" w:element="metricconverter">
        <w:smartTagPr>
          <w:attr w:name="ProductID" w:val="2011, a"/>
        </w:smartTagPr>
        <w:r>
          <w:rPr>
            <w:b/>
            <w:sz w:val="22"/>
          </w:rPr>
          <w:t>2011</w:t>
        </w:r>
        <w:r w:rsidR="001D45E0">
          <w:rPr>
            <w:sz w:val="22"/>
          </w:rPr>
          <w:t xml:space="preserve">, </w:t>
        </w:r>
        <w:r w:rsidR="001D45E0" w:rsidRPr="001D45E0">
          <w:rPr>
            <w:sz w:val="22"/>
          </w:rPr>
          <w:t>a</w:t>
        </w:r>
      </w:smartTag>
      <w:r w:rsidR="001D45E0" w:rsidRPr="001D45E0">
        <w:rPr>
          <w:sz w:val="22"/>
        </w:rPr>
        <w:t xml:space="preserve"> to</w:t>
      </w:r>
      <w:r w:rsidRPr="001D45E0">
        <w:rPr>
          <w:sz w:val="22"/>
          <w:szCs w:val="22"/>
        </w:rPr>
        <w:t xml:space="preserve"> </w:t>
      </w:r>
      <w:r w:rsidR="001D45E0">
        <w:rPr>
          <w:sz w:val="22"/>
          <w:szCs w:val="22"/>
        </w:rPr>
        <w:t xml:space="preserve">následujícími </w:t>
      </w:r>
      <w:r w:rsidRPr="001D45E0">
        <w:rPr>
          <w:sz w:val="22"/>
          <w:szCs w:val="22"/>
        </w:rPr>
        <w:t>kapitol</w:t>
      </w:r>
      <w:r w:rsidR="001D45E0">
        <w:rPr>
          <w:sz w:val="22"/>
          <w:szCs w:val="22"/>
        </w:rPr>
        <w:t>ami:</w:t>
      </w:r>
    </w:p>
    <w:p w:rsidR="001D45E0" w:rsidRPr="001D45E0" w:rsidRDefault="00AD713A" w:rsidP="00EF05CF">
      <w:pPr>
        <w:keepNext/>
        <w:numPr>
          <w:ilvl w:val="1"/>
          <w:numId w:val="15"/>
        </w:numPr>
        <w:spacing w:before="240"/>
        <w:ind w:left="709" w:hanging="357"/>
        <w:rPr>
          <w:b/>
        </w:rPr>
      </w:pPr>
      <w:r w:rsidRPr="001D45E0">
        <w:rPr>
          <w:sz w:val="22"/>
          <w:szCs w:val="22"/>
        </w:rPr>
        <w:t xml:space="preserve">1.1 </w:t>
      </w:r>
      <w:r w:rsidR="001D45E0">
        <w:rPr>
          <w:sz w:val="22"/>
          <w:szCs w:val="22"/>
        </w:rPr>
        <w:t>(Varianty DCF)</w:t>
      </w:r>
    </w:p>
    <w:p w:rsidR="001D45E0" w:rsidRPr="001D45E0" w:rsidRDefault="00AD713A" w:rsidP="00EF05CF">
      <w:pPr>
        <w:keepNext/>
        <w:numPr>
          <w:ilvl w:val="1"/>
          <w:numId w:val="15"/>
        </w:numPr>
        <w:spacing w:before="120"/>
        <w:ind w:left="709" w:hanging="357"/>
        <w:rPr>
          <w:b/>
        </w:rPr>
      </w:pPr>
      <w:r w:rsidRPr="001D45E0">
        <w:rPr>
          <w:sz w:val="22"/>
          <w:szCs w:val="22"/>
        </w:rPr>
        <w:t>2.</w:t>
      </w:r>
      <w:r w:rsidR="001D45E0">
        <w:rPr>
          <w:sz w:val="22"/>
          <w:szCs w:val="22"/>
        </w:rPr>
        <w:t xml:space="preserve"> </w:t>
      </w:r>
      <w:proofErr w:type="gramStart"/>
      <w:r w:rsidR="001D45E0">
        <w:rPr>
          <w:sz w:val="22"/>
          <w:szCs w:val="22"/>
        </w:rPr>
        <w:t>až</w:t>
      </w:r>
      <w:r w:rsidRPr="001D45E0">
        <w:rPr>
          <w:sz w:val="22"/>
          <w:szCs w:val="22"/>
        </w:rPr>
        <w:t xml:space="preserve">  4.</w:t>
      </w:r>
      <w:r w:rsidR="001D45E0">
        <w:rPr>
          <w:sz w:val="22"/>
          <w:szCs w:val="22"/>
        </w:rPr>
        <w:t xml:space="preserve"> (EVA</w:t>
      </w:r>
      <w:proofErr w:type="gramEnd"/>
      <w:r w:rsidR="001D45E0">
        <w:rPr>
          <w:sz w:val="22"/>
          <w:szCs w:val="22"/>
        </w:rPr>
        <w:t>, Teorie vlivu zadlužení na hodnotu, Způsoby stanovení struktury kap.)</w:t>
      </w:r>
    </w:p>
    <w:p w:rsidR="001D45E0" w:rsidRPr="001D45E0" w:rsidRDefault="00AD713A" w:rsidP="00EF05CF">
      <w:pPr>
        <w:keepNext/>
        <w:numPr>
          <w:ilvl w:val="1"/>
          <w:numId w:val="15"/>
        </w:numPr>
        <w:spacing w:before="120"/>
        <w:ind w:left="709" w:hanging="357"/>
        <w:rPr>
          <w:b/>
        </w:rPr>
      </w:pPr>
      <w:r w:rsidRPr="001D45E0">
        <w:rPr>
          <w:sz w:val="22"/>
          <w:szCs w:val="22"/>
        </w:rPr>
        <w:t>5.</w:t>
      </w:r>
      <w:r w:rsidR="001D45E0">
        <w:rPr>
          <w:sz w:val="22"/>
          <w:szCs w:val="22"/>
        </w:rPr>
        <w:t>2, 5.5, 5.6</w:t>
      </w:r>
      <w:r w:rsidRPr="001D45E0">
        <w:rPr>
          <w:sz w:val="22"/>
          <w:szCs w:val="22"/>
        </w:rPr>
        <w:t xml:space="preserve"> (</w:t>
      </w:r>
      <w:r w:rsidR="001D45E0">
        <w:rPr>
          <w:sz w:val="22"/>
          <w:szCs w:val="22"/>
        </w:rPr>
        <w:t xml:space="preserve">Vzájemná shoda variant DCF; z přehledu reagenčních funkcí v kapitole 5.6 </w:t>
      </w:r>
      <w:r w:rsidRPr="001D45E0">
        <w:rPr>
          <w:sz w:val="22"/>
          <w:szCs w:val="22"/>
        </w:rPr>
        <w:t xml:space="preserve">stačí </w:t>
      </w:r>
      <w:r w:rsidR="001D45E0">
        <w:rPr>
          <w:sz w:val="22"/>
          <w:szCs w:val="22"/>
        </w:rPr>
        <w:t>jen první dvě reagenční funkce)</w:t>
      </w:r>
      <w:r w:rsidRPr="001D45E0">
        <w:rPr>
          <w:sz w:val="22"/>
          <w:szCs w:val="22"/>
        </w:rPr>
        <w:t xml:space="preserve"> </w:t>
      </w:r>
    </w:p>
    <w:p w:rsidR="001D45E0" w:rsidRPr="001D45E0" w:rsidRDefault="00AD713A" w:rsidP="00EF05CF">
      <w:pPr>
        <w:keepNext/>
        <w:numPr>
          <w:ilvl w:val="1"/>
          <w:numId w:val="15"/>
        </w:numPr>
        <w:spacing w:before="120"/>
        <w:ind w:left="709" w:hanging="357"/>
        <w:rPr>
          <w:b/>
        </w:rPr>
      </w:pPr>
      <w:r w:rsidRPr="001D45E0">
        <w:rPr>
          <w:sz w:val="22"/>
          <w:szCs w:val="22"/>
        </w:rPr>
        <w:t>6.6</w:t>
      </w:r>
      <w:r w:rsidR="001D45E0">
        <w:rPr>
          <w:sz w:val="22"/>
          <w:szCs w:val="22"/>
        </w:rPr>
        <w:t xml:space="preserve"> (Závěr ke vztahu metody DCF a metody EVA)</w:t>
      </w:r>
      <w:r w:rsidRPr="001D45E0">
        <w:rPr>
          <w:sz w:val="22"/>
          <w:szCs w:val="22"/>
        </w:rPr>
        <w:t xml:space="preserve"> </w:t>
      </w:r>
    </w:p>
    <w:p w:rsidR="001D45E0" w:rsidRPr="001D45E0" w:rsidRDefault="00AD713A" w:rsidP="00EF05CF">
      <w:pPr>
        <w:keepNext/>
        <w:numPr>
          <w:ilvl w:val="1"/>
          <w:numId w:val="15"/>
        </w:numPr>
        <w:spacing w:before="120"/>
        <w:ind w:left="709" w:hanging="357"/>
        <w:rPr>
          <w:b/>
        </w:rPr>
      </w:pPr>
      <w:r w:rsidRPr="001D45E0">
        <w:rPr>
          <w:sz w:val="22"/>
          <w:szCs w:val="22"/>
        </w:rPr>
        <w:t xml:space="preserve">8. </w:t>
      </w:r>
      <w:r w:rsidR="001D45E0">
        <w:rPr>
          <w:sz w:val="22"/>
          <w:szCs w:val="22"/>
        </w:rPr>
        <w:t>až 9. (Úvod k odhadu diskontní míry a Symetrie v diskontní míře)</w:t>
      </w:r>
    </w:p>
    <w:p w:rsidR="001D45E0" w:rsidRDefault="001D45E0" w:rsidP="00EF05CF">
      <w:pPr>
        <w:keepNext/>
        <w:numPr>
          <w:ilvl w:val="1"/>
          <w:numId w:val="15"/>
        </w:numPr>
        <w:spacing w:before="120"/>
        <w:ind w:left="709" w:hanging="357"/>
      </w:pPr>
      <w:r w:rsidRPr="001D45E0">
        <w:t>10.1</w:t>
      </w:r>
      <w:r>
        <w:t>, 10.2, 10.3.1 (Vybrané části z tématu bezrizikové výnosové míry)</w:t>
      </w:r>
    </w:p>
    <w:p w:rsidR="001D45E0" w:rsidRPr="001D45E0" w:rsidRDefault="001D45E0" w:rsidP="00EF05CF">
      <w:pPr>
        <w:keepNext/>
        <w:numPr>
          <w:ilvl w:val="1"/>
          <w:numId w:val="15"/>
        </w:numPr>
        <w:spacing w:before="120"/>
        <w:ind w:left="709" w:hanging="357"/>
      </w:pPr>
      <w:r>
        <w:t>11.3, 12 (Náklady VK pro investora bez možnosti diverzifikace a odhad nákladů VK ex-ante)</w:t>
      </w:r>
    </w:p>
    <w:p w:rsidR="001D45E0" w:rsidRPr="001D45E0" w:rsidRDefault="00AD713A" w:rsidP="00EF05CF">
      <w:pPr>
        <w:keepNext/>
        <w:numPr>
          <w:ilvl w:val="1"/>
          <w:numId w:val="15"/>
        </w:numPr>
        <w:spacing w:before="120" w:after="240"/>
        <w:ind w:left="709"/>
        <w:rPr>
          <w:b/>
        </w:rPr>
      </w:pPr>
      <w:r w:rsidRPr="001D45E0">
        <w:rPr>
          <w:sz w:val="22"/>
          <w:szCs w:val="22"/>
        </w:rPr>
        <w:t>14.</w:t>
      </w:r>
      <w:r w:rsidR="001D45E0">
        <w:rPr>
          <w:sz w:val="22"/>
          <w:szCs w:val="22"/>
        </w:rPr>
        <w:t xml:space="preserve"> (Podniky s omezenou perspektivou a Amortizační hodnota)</w:t>
      </w:r>
      <w:r w:rsidRPr="001D45E0">
        <w:rPr>
          <w:sz w:val="22"/>
          <w:szCs w:val="22"/>
        </w:rPr>
        <w:t xml:space="preserve"> </w:t>
      </w:r>
    </w:p>
    <w:p w:rsidR="001377E0" w:rsidRPr="001D45E0" w:rsidRDefault="001D45E0" w:rsidP="00A56123">
      <w:pPr>
        <w:keepNext/>
        <w:spacing w:before="240"/>
        <w:ind w:left="357"/>
        <w:rPr>
          <w:b/>
        </w:rPr>
      </w:pPr>
      <w:r>
        <w:rPr>
          <w:sz w:val="22"/>
          <w:szCs w:val="22"/>
        </w:rPr>
        <w:t>O</w:t>
      </w:r>
      <w:r w:rsidR="00AD713A" w:rsidRPr="001D45E0">
        <w:rPr>
          <w:sz w:val="22"/>
          <w:szCs w:val="22"/>
        </w:rPr>
        <w:t xml:space="preserve">statní části </w:t>
      </w:r>
      <w:r>
        <w:rPr>
          <w:sz w:val="22"/>
          <w:szCs w:val="22"/>
        </w:rPr>
        <w:t xml:space="preserve">této knihy </w:t>
      </w:r>
      <w:r w:rsidR="00AD713A" w:rsidRPr="001D45E0">
        <w:rPr>
          <w:sz w:val="22"/>
          <w:szCs w:val="22"/>
        </w:rPr>
        <w:t>přestavují rozšíření a prohloubení látky a spadají do doporučené literatury</w:t>
      </w:r>
      <w:r w:rsidR="00F3028A" w:rsidRPr="001D45E0">
        <w:t>.</w:t>
      </w:r>
      <w:r>
        <w:t xml:space="preserve"> Jejich znalost není podmínkou složení zkoušky.</w:t>
      </w:r>
    </w:p>
    <w:p w:rsidR="007A02B0" w:rsidRDefault="007A02B0" w:rsidP="00EF05CF">
      <w:pPr>
        <w:spacing w:after="120"/>
      </w:pPr>
    </w:p>
    <w:p w:rsidR="000925FD" w:rsidRPr="000925FD" w:rsidRDefault="00AC6E27" w:rsidP="00E47051">
      <w:pPr>
        <w:keepNext/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Průběh zkoušky</w:t>
      </w:r>
    </w:p>
    <w:p w:rsidR="000925FD" w:rsidRPr="003073CC" w:rsidRDefault="00AC6E27" w:rsidP="00F74021">
      <w:pPr>
        <w:spacing w:after="120"/>
        <w:jc w:val="both"/>
        <w:rPr>
          <w:i/>
        </w:rPr>
      </w:pPr>
      <w:r w:rsidRPr="003073CC">
        <w:rPr>
          <w:i/>
        </w:rPr>
        <w:t xml:space="preserve">Závěrečná zkouška probíhá formou písemného testu. Písemný test se skládá z jednoho až dvou příkladů a 10 až 15 otázek. Ústní zkouška </w:t>
      </w:r>
      <w:r w:rsidR="00A56123" w:rsidRPr="003073CC">
        <w:rPr>
          <w:i/>
        </w:rPr>
        <w:t>zahrnuje diskusi nad testem a</w:t>
      </w:r>
      <w:r w:rsidRPr="003073CC">
        <w:rPr>
          <w:i/>
        </w:rPr>
        <w:t xml:space="preserve"> doplňkové otázky. </w:t>
      </w:r>
    </w:p>
    <w:p w:rsidR="0075149E" w:rsidRPr="003073CC" w:rsidRDefault="00F3028A" w:rsidP="00F3028A">
      <w:pPr>
        <w:spacing w:after="120"/>
        <w:jc w:val="both"/>
        <w:rPr>
          <w:i/>
        </w:rPr>
      </w:pPr>
      <w:r w:rsidRPr="003073CC">
        <w:rPr>
          <w:i/>
        </w:rPr>
        <w:t>Některé t</w:t>
      </w:r>
      <w:r w:rsidR="000925FD" w:rsidRPr="003073CC">
        <w:rPr>
          <w:i/>
        </w:rPr>
        <w:t>ypy výpočtů, které budou součástí závěrečné zkoušky,</w:t>
      </w:r>
      <w:r w:rsidR="007B4E72" w:rsidRPr="003073CC">
        <w:rPr>
          <w:i/>
        </w:rPr>
        <w:t xml:space="preserve"> </w:t>
      </w:r>
      <w:r w:rsidR="000925FD" w:rsidRPr="003073CC">
        <w:rPr>
          <w:i/>
        </w:rPr>
        <w:t xml:space="preserve">obsahují soubory s cvičnými příklady, které je možno stáhnout na stránce </w:t>
      </w:r>
      <w:hyperlink r:id="rId5" w:history="1">
        <w:r w:rsidR="000925FD" w:rsidRPr="003073CC">
          <w:rPr>
            <w:rStyle w:val="Hypertextovodkaz"/>
            <w:i/>
          </w:rPr>
          <w:t>http://iom.vse.cz</w:t>
        </w:r>
      </w:hyperlink>
      <w:r w:rsidR="000925FD" w:rsidRPr="003073CC">
        <w:rPr>
          <w:i/>
        </w:rPr>
        <w:t xml:space="preserve"> –</w:t>
      </w:r>
      <w:r w:rsidR="00F74021" w:rsidRPr="003073CC">
        <w:rPr>
          <w:i/>
        </w:rPr>
        <w:t xml:space="preserve"> </w:t>
      </w:r>
      <w:r w:rsidR="000925FD" w:rsidRPr="003073CC">
        <w:rPr>
          <w:i/>
        </w:rPr>
        <w:t>Informace pro účastníky kurzů IOM – Oceňování podniku</w:t>
      </w:r>
      <w:r w:rsidR="00A56123" w:rsidRPr="003073CC">
        <w:rPr>
          <w:i/>
        </w:rPr>
        <w:t>, případně je možné využít i cvičné příklady ze sekce Studenti denního studia – 1FP305/1FP405 a 1FP412</w:t>
      </w:r>
      <w:r w:rsidR="000925FD" w:rsidRPr="003073CC">
        <w:rPr>
          <w:i/>
        </w:rPr>
        <w:t>.</w:t>
      </w:r>
      <w:r w:rsidRPr="003073CC">
        <w:rPr>
          <w:i/>
        </w:rPr>
        <w:t xml:space="preserve"> </w:t>
      </w:r>
      <w:r w:rsidR="0075149E" w:rsidRPr="003073CC">
        <w:rPr>
          <w:i/>
        </w:rPr>
        <w:t>Soubory</w:t>
      </w:r>
      <w:r w:rsidR="00A56123" w:rsidRPr="003073CC">
        <w:rPr>
          <w:i/>
        </w:rPr>
        <w:t xml:space="preserve"> s cvičnými příklady</w:t>
      </w:r>
      <w:r w:rsidR="0075149E" w:rsidRPr="003073CC">
        <w:rPr>
          <w:i/>
        </w:rPr>
        <w:t xml:space="preserve"> obsahují zadání a hlavní výsledky. Slouží k natrénování výpočtů pro závěrečnou zkoušku. Příklady</w:t>
      </w:r>
      <w:r w:rsidR="00A56123" w:rsidRPr="003073CC">
        <w:rPr>
          <w:i/>
        </w:rPr>
        <w:t xml:space="preserve"> (zejména ze sekce pro účastníky kurzu Oceňování podniku)</w:t>
      </w:r>
      <w:r w:rsidR="0075149E" w:rsidRPr="003073CC">
        <w:rPr>
          <w:i/>
        </w:rPr>
        <w:t xml:space="preserve"> jsou variantami výpočtů, které byly probírány na cvičení. </w:t>
      </w:r>
      <w:r w:rsidRPr="003073CC">
        <w:rPr>
          <w:i/>
        </w:rPr>
        <w:t>U zkoušky ale mohu být i jednodušší příklady z jiných oblastí, které byly na přednáškách nebo v knize.</w:t>
      </w:r>
    </w:p>
    <w:p w:rsidR="0075149E" w:rsidRPr="003073CC" w:rsidRDefault="0075149E" w:rsidP="00F74021">
      <w:pPr>
        <w:pStyle w:val="Normlnweb"/>
        <w:spacing w:before="0" w:beforeAutospacing="0" w:after="120" w:afterAutospacing="0"/>
        <w:jc w:val="both"/>
        <w:rPr>
          <w:i/>
        </w:rPr>
      </w:pPr>
      <w:r w:rsidRPr="003073CC">
        <w:rPr>
          <w:i/>
        </w:rPr>
        <w:t xml:space="preserve">Účastníci si k závěrečné zkoušce přinesou </w:t>
      </w:r>
      <w:r w:rsidRPr="003073CC">
        <w:rPr>
          <w:rStyle w:val="Siln"/>
          <w:i/>
        </w:rPr>
        <w:t xml:space="preserve">kalkulačku s běžnými funkcemi </w:t>
      </w:r>
      <w:r w:rsidRPr="003073CC">
        <w:rPr>
          <w:i/>
        </w:rPr>
        <w:t xml:space="preserve">(nikoli složitější elektroniku). </w:t>
      </w:r>
    </w:p>
    <w:p w:rsidR="000925FD" w:rsidRPr="003073CC" w:rsidRDefault="0075149E" w:rsidP="00F74021">
      <w:pPr>
        <w:pStyle w:val="Normlnweb"/>
        <w:spacing w:before="0" w:beforeAutospacing="0" w:after="120" w:afterAutospacing="0"/>
        <w:jc w:val="both"/>
        <w:rPr>
          <w:i/>
        </w:rPr>
      </w:pPr>
      <w:r w:rsidRPr="003073CC">
        <w:rPr>
          <w:i/>
        </w:rPr>
        <w:t xml:space="preserve">Důvodem tohoto opatření jsou zkušenosti z prověřování znalostí soudních znalců a adeptů na certifikaci. </w:t>
      </w:r>
    </w:p>
    <w:p w:rsidR="003A0B40" w:rsidRPr="003073CC" w:rsidRDefault="003A0B40" w:rsidP="00680B02">
      <w:pPr>
        <w:pStyle w:val="Normlnweb"/>
        <w:spacing w:before="0" w:beforeAutospacing="0" w:after="120" w:afterAutospacing="0"/>
        <w:jc w:val="both"/>
        <w:rPr>
          <w:i/>
        </w:rPr>
      </w:pPr>
    </w:p>
    <w:p w:rsidR="00D96B63" w:rsidRPr="00F74021" w:rsidRDefault="001377E0" w:rsidP="00680B02">
      <w:pPr>
        <w:pStyle w:val="Normlnweb"/>
        <w:spacing w:before="0" w:beforeAutospacing="0" w:after="120" w:afterAutospacing="0"/>
        <w:jc w:val="both"/>
        <w:rPr>
          <w:i/>
        </w:rPr>
      </w:pPr>
      <w:r w:rsidRPr="003073CC">
        <w:rPr>
          <w:i/>
        </w:rPr>
        <w:t>Datum poslední aktualizace:</w:t>
      </w:r>
      <w:r w:rsidR="007B4E72" w:rsidRPr="003073CC">
        <w:rPr>
          <w:i/>
        </w:rPr>
        <w:t xml:space="preserve"> </w:t>
      </w:r>
      <w:r w:rsidR="00D32DB1">
        <w:rPr>
          <w:i/>
        </w:rPr>
        <w:t>1</w:t>
      </w:r>
      <w:r w:rsidR="00412F64" w:rsidRPr="003073CC">
        <w:rPr>
          <w:i/>
        </w:rPr>
        <w:t>.</w:t>
      </w:r>
      <w:r w:rsidR="00F74021" w:rsidRPr="003073CC">
        <w:rPr>
          <w:i/>
        </w:rPr>
        <w:t xml:space="preserve"> </w:t>
      </w:r>
      <w:r w:rsidR="00D32DB1">
        <w:rPr>
          <w:i/>
        </w:rPr>
        <w:t>10</w:t>
      </w:r>
      <w:r w:rsidR="00412F64" w:rsidRPr="003073CC">
        <w:rPr>
          <w:i/>
        </w:rPr>
        <w:t>. 201</w:t>
      </w:r>
      <w:r w:rsidR="00A56123" w:rsidRPr="003073CC">
        <w:rPr>
          <w:i/>
        </w:rPr>
        <w:t>6</w:t>
      </w:r>
      <w:bookmarkStart w:id="0" w:name="_GoBack"/>
      <w:bookmarkEnd w:id="0"/>
    </w:p>
    <w:sectPr w:rsidR="00D96B63" w:rsidRPr="00F74021" w:rsidSect="00342C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F2"/>
    <w:multiLevelType w:val="hybridMultilevel"/>
    <w:tmpl w:val="478AC6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407B2">
      <w:start w:val="1"/>
      <w:numFmt w:val="bullet"/>
      <w:lvlText w:val="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A0DD8"/>
    <w:multiLevelType w:val="hybridMultilevel"/>
    <w:tmpl w:val="6E7297D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4332DF"/>
    <w:multiLevelType w:val="hybridMultilevel"/>
    <w:tmpl w:val="214E31D2"/>
    <w:lvl w:ilvl="0" w:tplc="B9B62AFE">
      <w:start w:val="1"/>
      <w:numFmt w:val="bullet"/>
      <w:lvlText w:val=""/>
      <w:lvlJc w:val="left"/>
      <w:pPr>
        <w:tabs>
          <w:tab w:val="num" w:pos="717"/>
        </w:tabs>
        <w:ind w:left="527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2CF31939"/>
    <w:multiLevelType w:val="multilevel"/>
    <w:tmpl w:val="214E3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790FD8"/>
    <w:multiLevelType w:val="hybridMultilevel"/>
    <w:tmpl w:val="E91670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311E61"/>
    <w:multiLevelType w:val="hybridMultilevel"/>
    <w:tmpl w:val="214E31D2"/>
    <w:lvl w:ilvl="0" w:tplc="B9B62AFE">
      <w:start w:val="1"/>
      <w:numFmt w:val="bullet"/>
      <w:lvlText w:val=""/>
      <w:lvlJc w:val="left"/>
      <w:pPr>
        <w:tabs>
          <w:tab w:val="num" w:pos="717"/>
        </w:tabs>
        <w:ind w:left="527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31BC3EA1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F5F71CD"/>
    <w:multiLevelType w:val="hybridMultilevel"/>
    <w:tmpl w:val="2DEAEB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7C3E00"/>
    <w:multiLevelType w:val="hybridMultilevel"/>
    <w:tmpl w:val="73A26B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843062"/>
    <w:multiLevelType w:val="hybridMultilevel"/>
    <w:tmpl w:val="AA0E4B76"/>
    <w:lvl w:ilvl="0" w:tplc="995844B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>
    <w:nsid w:val="4F523980"/>
    <w:multiLevelType w:val="hybridMultilevel"/>
    <w:tmpl w:val="BE461E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0457EA"/>
    <w:multiLevelType w:val="hybridMultilevel"/>
    <w:tmpl w:val="019AE238"/>
    <w:lvl w:ilvl="0" w:tplc="995844B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F14AC"/>
    <w:multiLevelType w:val="hybridMultilevel"/>
    <w:tmpl w:val="214E31D2"/>
    <w:lvl w:ilvl="0" w:tplc="B9B62AFE">
      <w:start w:val="1"/>
      <w:numFmt w:val="bullet"/>
      <w:lvlText w:val=""/>
      <w:lvlJc w:val="left"/>
      <w:pPr>
        <w:tabs>
          <w:tab w:val="num" w:pos="717"/>
        </w:tabs>
        <w:ind w:left="527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5E024754"/>
    <w:multiLevelType w:val="hybridMultilevel"/>
    <w:tmpl w:val="6CB4CF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3398B"/>
    <w:multiLevelType w:val="multilevel"/>
    <w:tmpl w:val="A20C2C3A"/>
    <w:lvl w:ilvl="0">
      <w:start w:val="1"/>
      <w:numFmt w:val="decimal"/>
      <w:pStyle w:val="Mj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jNadpis2"/>
      <w:lvlText w:val="%1.%2."/>
      <w:lvlJc w:val="left"/>
      <w:pPr>
        <w:tabs>
          <w:tab w:val="num" w:pos="771"/>
        </w:tabs>
        <w:ind w:left="77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MjNadpis3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MjNadpis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4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66932"/>
    <w:rsid w:val="00040B14"/>
    <w:rsid w:val="00045AE5"/>
    <w:rsid w:val="00046D2D"/>
    <w:rsid w:val="000925FD"/>
    <w:rsid w:val="000E69AA"/>
    <w:rsid w:val="001377E0"/>
    <w:rsid w:val="001B2FA0"/>
    <w:rsid w:val="001D3EC9"/>
    <w:rsid w:val="001D45E0"/>
    <w:rsid w:val="001E1417"/>
    <w:rsid w:val="00202D80"/>
    <w:rsid w:val="00242DEC"/>
    <w:rsid w:val="00253E55"/>
    <w:rsid w:val="00264583"/>
    <w:rsid w:val="00266932"/>
    <w:rsid w:val="003073CC"/>
    <w:rsid w:val="00323013"/>
    <w:rsid w:val="00324FE4"/>
    <w:rsid w:val="00333AD3"/>
    <w:rsid w:val="00342C97"/>
    <w:rsid w:val="003A0B40"/>
    <w:rsid w:val="003B3B97"/>
    <w:rsid w:val="003C5E55"/>
    <w:rsid w:val="003F2BA3"/>
    <w:rsid w:val="00412F64"/>
    <w:rsid w:val="0043128F"/>
    <w:rsid w:val="00465428"/>
    <w:rsid w:val="00466EFB"/>
    <w:rsid w:val="004A606D"/>
    <w:rsid w:val="004B4AFB"/>
    <w:rsid w:val="004F64AC"/>
    <w:rsid w:val="00537F47"/>
    <w:rsid w:val="00542C05"/>
    <w:rsid w:val="00566856"/>
    <w:rsid w:val="005B700E"/>
    <w:rsid w:val="005C04A2"/>
    <w:rsid w:val="006046A8"/>
    <w:rsid w:val="006468B6"/>
    <w:rsid w:val="00680B02"/>
    <w:rsid w:val="0075149E"/>
    <w:rsid w:val="00757495"/>
    <w:rsid w:val="00762F42"/>
    <w:rsid w:val="007633E5"/>
    <w:rsid w:val="007A02B0"/>
    <w:rsid w:val="007B4E72"/>
    <w:rsid w:val="007C0A48"/>
    <w:rsid w:val="007F7776"/>
    <w:rsid w:val="008155A4"/>
    <w:rsid w:val="00822137"/>
    <w:rsid w:val="008243D5"/>
    <w:rsid w:val="00833C86"/>
    <w:rsid w:val="00836E80"/>
    <w:rsid w:val="0085186E"/>
    <w:rsid w:val="00870F66"/>
    <w:rsid w:val="008A3517"/>
    <w:rsid w:val="009122D6"/>
    <w:rsid w:val="009C5A17"/>
    <w:rsid w:val="009D520F"/>
    <w:rsid w:val="00A50E71"/>
    <w:rsid w:val="00A56123"/>
    <w:rsid w:val="00A608F9"/>
    <w:rsid w:val="00A732D9"/>
    <w:rsid w:val="00AC6E27"/>
    <w:rsid w:val="00AD713A"/>
    <w:rsid w:val="00AD76E8"/>
    <w:rsid w:val="00B03994"/>
    <w:rsid w:val="00B146DD"/>
    <w:rsid w:val="00B618A2"/>
    <w:rsid w:val="00BA2917"/>
    <w:rsid w:val="00BA354B"/>
    <w:rsid w:val="00BB031B"/>
    <w:rsid w:val="00BF6E14"/>
    <w:rsid w:val="00C2557B"/>
    <w:rsid w:val="00C301F1"/>
    <w:rsid w:val="00C948CD"/>
    <w:rsid w:val="00CA7FBF"/>
    <w:rsid w:val="00D3065F"/>
    <w:rsid w:val="00D32DB1"/>
    <w:rsid w:val="00D573CF"/>
    <w:rsid w:val="00D75B1B"/>
    <w:rsid w:val="00D80458"/>
    <w:rsid w:val="00D96B63"/>
    <w:rsid w:val="00E21111"/>
    <w:rsid w:val="00E2540A"/>
    <w:rsid w:val="00E332CF"/>
    <w:rsid w:val="00E47051"/>
    <w:rsid w:val="00E64D36"/>
    <w:rsid w:val="00EC28CD"/>
    <w:rsid w:val="00EF05CF"/>
    <w:rsid w:val="00F0418A"/>
    <w:rsid w:val="00F169AE"/>
    <w:rsid w:val="00F22830"/>
    <w:rsid w:val="00F3028A"/>
    <w:rsid w:val="00F36180"/>
    <w:rsid w:val="00F4720E"/>
    <w:rsid w:val="00F74021"/>
    <w:rsid w:val="00F74546"/>
    <w:rsid w:val="00FB6EA2"/>
    <w:rsid w:val="00FD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830"/>
    <w:rPr>
      <w:sz w:val="24"/>
      <w:szCs w:val="24"/>
    </w:rPr>
  </w:style>
  <w:style w:type="paragraph" w:styleId="Nadpis1">
    <w:name w:val="heading 1"/>
    <w:basedOn w:val="Normln"/>
    <w:next w:val="Normln"/>
    <w:qFormat/>
    <w:rsid w:val="00F0418A"/>
    <w:pPr>
      <w:keepNext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F0418A"/>
    <w:pPr>
      <w:keepNext/>
      <w:jc w:val="center"/>
      <w:outlineLvl w:val="1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rsid w:val="00F0418A"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2830"/>
    <w:rPr>
      <w:color w:val="0000FF"/>
      <w:u w:val="single"/>
    </w:rPr>
  </w:style>
  <w:style w:type="paragraph" w:styleId="Textbubliny">
    <w:name w:val="Balloon Text"/>
    <w:basedOn w:val="Normln"/>
    <w:semiHidden/>
    <w:rsid w:val="00F7454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5149E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5149E"/>
    <w:rPr>
      <w:b/>
      <w:bCs/>
    </w:rPr>
  </w:style>
  <w:style w:type="paragraph" w:customStyle="1" w:styleId="MjNadpis1">
    <w:name w:val="Můj Nadpis 1"/>
    <w:basedOn w:val="Normln"/>
    <w:rsid w:val="00537F47"/>
    <w:pPr>
      <w:numPr>
        <w:numId w:val="9"/>
      </w:numPr>
      <w:spacing w:before="120" w:after="120"/>
      <w:ind w:left="0" w:firstLine="0"/>
      <w:contextualSpacing/>
    </w:pPr>
    <w:rPr>
      <w:rFonts w:ascii="Arial" w:hAnsi="Arial"/>
      <w:b/>
      <w:sz w:val="32"/>
      <w:szCs w:val="32"/>
    </w:rPr>
  </w:style>
  <w:style w:type="paragraph" w:customStyle="1" w:styleId="MjNadpis2">
    <w:name w:val="Můj Nadpis 2"/>
    <w:basedOn w:val="Normln"/>
    <w:rsid w:val="00537F47"/>
    <w:pPr>
      <w:numPr>
        <w:ilvl w:val="1"/>
        <w:numId w:val="9"/>
      </w:numPr>
      <w:tabs>
        <w:tab w:val="num" w:pos="360"/>
      </w:tabs>
      <w:spacing w:before="120" w:after="120"/>
      <w:ind w:left="0" w:firstLine="0"/>
      <w:contextualSpacing/>
    </w:pPr>
    <w:rPr>
      <w:rFonts w:ascii="Arial" w:hAnsi="Arial"/>
      <w:b/>
      <w:sz w:val="28"/>
      <w:szCs w:val="28"/>
    </w:rPr>
  </w:style>
  <w:style w:type="paragraph" w:customStyle="1" w:styleId="MjNadpis3">
    <w:name w:val="Můj Nadpis 3"/>
    <w:basedOn w:val="Normln"/>
    <w:rsid w:val="00537F47"/>
    <w:pPr>
      <w:numPr>
        <w:ilvl w:val="2"/>
        <w:numId w:val="9"/>
      </w:numPr>
      <w:spacing w:before="120" w:after="120"/>
      <w:contextualSpacing/>
    </w:pPr>
    <w:rPr>
      <w:rFonts w:ascii="Arial" w:hAnsi="Arial"/>
      <w:b/>
      <w:i/>
      <w:sz w:val="28"/>
      <w:szCs w:val="28"/>
    </w:rPr>
  </w:style>
  <w:style w:type="paragraph" w:customStyle="1" w:styleId="MjNadpis4">
    <w:name w:val="Můj Nadpis 4"/>
    <w:basedOn w:val="Normln"/>
    <w:rsid w:val="00537F47"/>
    <w:pPr>
      <w:numPr>
        <w:ilvl w:val="3"/>
        <w:numId w:val="9"/>
      </w:numPr>
      <w:spacing w:before="120" w:after="120"/>
      <w:contextualSpacing/>
    </w:pPr>
    <w:rPr>
      <w:rFonts w:ascii="Arial" w:hAnsi="Arial"/>
      <w:i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537F47"/>
    <w:pPr>
      <w:tabs>
        <w:tab w:val="right" w:leader="dot" w:pos="9062"/>
      </w:tabs>
      <w:spacing w:before="120" w:after="120"/>
      <w:ind w:left="284" w:hanging="284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rsid w:val="00537F47"/>
    <w:pPr>
      <w:tabs>
        <w:tab w:val="left" w:pos="960"/>
        <w:tab w:val="right" w:leader="dot" w:pos="9062"/>
      </w:tabs>
      <w:spacing w:before="120" w:after="60"/>
      <w:ind w:left="992" w:hanging="754"/>
    </w:pPr>
    <w:rPr>
      <w:b/>
      <w:smallCaps/>
      <w:noProof/>
    </w:rPr>
  </w:style>
  <w:style w:type="paragraph" w:styleId="Obsah3">
    <w:name w:val="toc 3"/>
    <w:basedOn w:val="Normln"/>
    <w:next w:val="Normln"/>
    <w:autoRedefine/>
    <w:semiHidden/>
    <w:rsid w:val="00537F47"/>
    <w:pPr>
      <w:tabs>
        <w:tab w:val="left" w:pos="1440"/>
        <w:tab w:val="right" w:leader="dot" w:pos="9062"/>
      </w:tabs>
      <w:ind w:left="1418" w:hanging="938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om.vs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1152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Sdělení pro účastníky kursu IOM</vt:lpstr>
    </vt:vector>
  </TitlesOfParts>
  <Company>IOM VSE</Company>
  <LinksUpToDate>false</LinksUpToDate>
  <CharactersWithSpaces>7936</CharactersWithSpaces>
  <SharedDoc>false</SharedDoc>
  <HLinks>
    <vt:vector size="6" baseType="variant">
      <vt:variant>
        <vt:i4>7340143</vt:i4>
      </vt:variant>
      <vt:variant>
        <vt:i4>0</vt:i4>
      </vt:variant>
      <vt:variant>
        <vt:i4>0</vt:i4>
      </vt:variant>
      <vt:variant>
        <vt:i4>5</vt:i4>
      </vt:variant>
      <vt:variant>
        <vt:lpwstr>http://iom.vse.cz/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Sdělení pro účastníky kursu IOM</dc:title>
  <dc:creator>Lanik</dc:creator>
  <cp:lastModifiedBy>Pavla Maříková</cp:lastModifiedBy>
  <cp:revision>7</cp:revision>
  <cp:lastPrinted>2012-11-19T09:24:00Z</cp:lastPrinted>
  <dcterms:created xsi:type="dcterms:W3CDTF">2014-01-19T13:05:00Z</dcterms:created>
  <dcterms:modified xsi:type="dcterms:W3CDTF">2016-10-03T09:15:00Z</dcterms:modified>
</cp:coreProperties>
</file>