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8D8" w:rsidRDefault="00FA28D8" w:rsidP="00FA28D8">
      <w:pPr>
        <w:spacing w:after="0"/>
        <w:rPr>
          <w:b/>
          <w:sz w:val="36"/>
        </w:rPr>
      </w:pPr>
    </w:p>
    <w:p w:rsidR="0024734B" w:rsidRDefault="0024734B">
      <w:pPr>
        <w:spacing w:after="0"/>
        <w:jc w:val="center"/>
        <w:rPr>
          <w:b/>
          <w:sz w:val="36"/>
        </w:rPr>
      </w:pPr>
      <w:r>
        <w:rPr>
          <w:b/>
          <w:sz w:val="36"/>
        </w:rPr>
        <w:t>Institut oceňování majetku</w:t>
      </w:r>
    </w:p>
    <w:p w:rsidR="0024734B" w:rsidRDefault="0024734B">
      <w:pPr>
        <w:jc w:val="center"/>
        <w:rPr>
          <w:b/>
          <w:sz w:val="28"/>
        </w:rPr>
      </w:pPr>
      <w:r>
        <w:rPr>
          <w:b/>
          <w:sz w:val="28"/>
        </w:rPr>
        <w:t xml:space="preserve"> Vysoké škol</w:t>
      </w:r>
      <w:r w:rsidR="009D574C">
        <w:rPr>
          <w:b/>
          <w:sz w:val="28"/>
        </w:rPr>
        <w:t>y</w:t>
      </w:r>
      <w:r>
        <w:rPr>
          <w:b/>
          <w:sz w:val="28"/>
        </w:rPr>
        <w:t xml:space="preserve"> ekonomické v Praze</w:t>
      </w:r>
    </w:p>
    <w:p w:rsidR="0024734B" w:rsidRDefault="00B53B11">
      <w:pPr>
        <w:pBdr>
          <w:bottom w:val="single" w:sz="6" w:space="1" w:color="auto"/>
        </w:pBdr>
        <w:jc w:val="center"/>
        <w:rPr>
          <w:b/>
          <w:sz w:val="28"/>
        </w:rPr>
      </w:pPr>
      <w:r>
        <w:rPr>
          <w:sz w:val="24"/>
        </w:rPr>
        <w:t>nám. W. Churchilla 4, 130 67 Praha 3,</w:t>
      </w:r>
      <w:r w:rsidR="0024734B">
        <w:rPr>
          <w:sz w:val="24"/>
        </w:rPr>
        <w:t xml:space="preserve"> </w:t>
      </w:r>
      <w:r w:rsidR="00106378">
        <w:rPr>
          <w:sz w:val="24"/>
        </w:rPr>
        <w:t>t</w:t>
      </w:r>
      <w:r w:rsidR="0024734B">
        <w:rPr>
          <w:sz w:val="24"/>
        </w:rPr>
        <w:t xml:space="preserve">el.: </w:t>
      </w:r>
      <w:r w:rsidR="008673C0">
        <w:rPr>
          <w:sz w:val="24"/>
        </w:rPr>
        <w:t>224</w:t>
      </w:r>
      <w:r w:rsidR="00450790">
        <w:rPr>
          <w:sz w:val="24"/>
        </w:rPr>
        <w:t> 095 496</w:t>
      </w:r>
      <w:r w:rsidR="00D074F3">
        <w:rPr>
          <w:sz w:val="24"/>
        </w:rPr>
        <w:t>,</w:t>
      </w:r>
      <w:r w:rsidR="0024734B">
        <w:rPr>
          <w:sz w:val="24"/>
        </w:rPr>
        <w:t xml:space="preserve"> http://iom.vse.cz</w:t>
      </w:r>
    </w:p>
    <w:p w:rsidR="0024734B" w:rsidRPr="000C62F4" w:rsidRDefault="0024734B" w:rsidP="007F0697">
      <w:pPr>
        <w:spacing w:before="240"/>
        <w:jc w:val="center"/>
        <w:rPr>
          <w:b/>
          <w:sz w:val="36"/>
        </w:rPr>
      </w:pPr>
      <w:r>
        <w:rPr>
          <w:b/>
          <w:sz w:val="36"/>
        </w:rPr>
        <w:t xml:space="preserve">OCEŇOVÁNÍ </w:t>
      </w:r>
      <w:r w:rsidRPr="000C62F4">
        <w:rPr>
          <w:b/>
          <w:sz w:val="36"/>
        </w:rPr>
        <w:t>NEMOVIT</w:t>
      </w:r>
      <w:r w:rsidR="00AA011B" w:rsidRPr="000C62F4">
        <w:rPr>
          <w:b/>
          <w:sz w:val="36"/>
        </w:rPr>
        <w:t>ÝCH VĚCÍ</w:t>
      </w:r>
    </w:p>
    <w:p w:rsidR="0024734B" w:rsidRDefault="0024734B" w:rsidP="007F0697">
      <w:pPr>
        <w:spacing w:after="360"/>
        <w:jc w:val="center"/>
        <w:rPr>
          <w:b/>
          <w:sz w:val="28"/>
        </w:rPr>
      </w:pPr>
      <w:r>
        <w:rPr>
          <w:b/>
          <w:sz w:val="28"/>
        </w:rPr>
        <w:t xml:space="preserve">Informace o specializačním čtyřsemestrálním </w:t>
      </w:r>
      <w:r w:rsidR="007C48A4">
        <w:rPr>
          <w:b/>
          <w:sz w:val="28"/>
        </w:rPr>
        <w:t>studiu</w:t>
      </w:r>
    </w:p>
    <w:p w:rsidR="0024734B" w:rsidRDefault="0024734B" w:rsidP="007F0697">
      <w:pPr>
        <w:spacing w:before="240" w:after="240"/>
        <w:rPr>
          <w:b/>
          <w:sz w:val="28"/>
        </w:rPr>
      </w:pPr>
      <w:r>
        <w:rPr>
          <w:b/>
          <w:sz w:val="28"/>
        </w:rPr>
        <w:t xml:space="preserve">1. Charakteristika </w:t>
      </w:r>
    </w:p>
    <w:p w:rsidR="0024734B" w:rsidRPr="007F0697" w:rsidRDefault="0024734B" w:rsidP="007F0697">
      <w:pPr>
        <w:rPr>
          <w:sz w:val="24"/>
          <w:szCs w:val="24"/>
        </w:rPr>
      </w:pPr>
      <w:r w:rsidRPr="007F0697">
        <w:rPr>
          <w:sz w:val="24"/>
          <w:szCs w:val="24"/>
        </w:rPr>
        <w:t xml:space="preserve">Absolventi </w:t>
      </w:r>
      <w:r w:rsidR="006A0F25">
        <w:rPr>
          <w:sz w:val="24"/>
          <w:szCs w:val="24"/>
        </w:rPr>
        <w:t>studia</w:t>
      </w:r>
      <w:r w:rsidR="00E61003" w:rsidRPr="007F0697">
        <w:rPr>
          <w:sz w:val="24"/>
          <w:szCs w:val="24"/>
        </w:rPr>
        <w:t>, kter</w:t>
      </w:r>
      <w:r w:rsidR="006A0F25">
        <w:rPr>
          <w:sz w:val="24"/>
          <w:szCs w:val="24"/>
        </w:rPr>
        <w:t>é</w:t>
      </w:r>
      <w:r w:rsidR="00E61003" w:rsidRPr="007F0697">
        <w:rPr>
          <w:sz w:val="24"/>
          <w:szCs w:val="24"/>
        </w:rPr>
        <w:t xml:space="preserve"> je zařazen</w:t>
      </w:r>
      <w:r w:rsidR="006A0F25">
        <w:rPr>
          <w:sz w:val="24"/>
          <w:szCs w:val="24"/>
        </w:rPr>
        <w:t>o</w:t>
      </w:r>
      <w:r w:rsidR="00E61003" w:rsidRPr="007F0697">
        <w:rPr>
          <w:sz w:val="24"/>
          <w:szCs w:val="24"/>
        </w:rPr>
        <w:t xml:space="preserve"> do celoživotního vzdělávání,</w:t>
      </w:r>
      <w:r w:rsidRPr="007F0697">
        <w:rPr>
          <w:sz w:val="24"/>
          <w:szCs w:val="24"/>
        </w:rPr>
        <w:t xml:space="preserve"> </w:t>
      </w:r>
      <w:r w:rsidRPr="00D032FC">
        <w:rPr>
          <w:sz w:val="24"/>
          <w:szCs w:val="24"/>
        </w:rPr>
        <w:t>získají</w:t>
      </w:r>
      <w:r w:rsidR="006D3ECF" w:rsidRPr="00D032FC">
        <w:rPr>
          <w:sz w:val="24"/>
          <w:szCs w:val="24"/>
        </w:rPr>
        <w:t xml:space="preserve"> vědomosti</w:t>
      </w:r>
      <w:r w:rsidRPr="00D032FC">
        <w:rPr>
          <w:sz w:val="24"/>
          <w:szCs w:val="24"/>
        </w:rPr>
        <w:t xml:space="preserve"> potřebné</w:t>
      </w:r>
      <w:r w:rsidRPr="007F0697">
        <w:rPr>
          <w:sz w:val="24"/>
          <w:szCs w:val="24"/>
        </w:rPr>
        <w:t xml:space="preserve"> jak pro tržní oceňování</w:t>
      </w:r>
      <w:r w:rsidR="00012D0B" w:rsidRPr="007F0697">
        <w:rPr>
          <w:sz w:val="24"/>
          <w:szCs w:val="24"/>
        </w:rPr>
        <w:t xml:space="preserve"> nemovitostí</w:t>
      </w:r>
      <w:r w:rsidRPr="007F0697">
        <w:rPr>
          <w:sz w:val="24"/>
          <w:szCs w:val="24"/>
        </w:rPr>
        <w:t>, tak pro oceňování</w:t>
      </w:r>
      <w:r w:rsidR="00FE1E9F" w:rsidRPr="007F0697">
        <w:rPr>
          <w:sz w:val="24"/>
          <w:szCs w:val="24"/>
        </w:rPr>
        <w:t xml:space="preserve"> nemovitostí</w:t>
      </w:r>
      <w:r w:rsidRPr="007F0697">
        <w:rPr>
          <w:sz w:val="24"/>
          <w:szCs w:val="24"/>
        </w:rPr>
        <w:t xml:space="preserve"> </w:t>
      </w:r>
      <w:r w:rsidR="00012D0B" w:rsidRPr="007F0697">
        <w:rPr>
          <w:sz w:val="24"/>
          <w:szCs w:val="24"/>
        </w:rPr>
        <w:t>podle cenových předpisů</w:t>
      </w:r>
      <w:r w:rsidR="00EC5EFA" w:rsidRPr="007F0697">
        <w:rPr>
          <w:sz w:val="24"/>
          <w:szCs w:val="24"/>
        </w:rPr>
        <w:t xml:space="preserve">, přičemž hlavní důraz je </w:t>
      </w:r>
      <w:r w:rsidRPr="007F0697">
        <w:rPr>
          <w:sz w:val="24"/>
          <w:szCs w:val="24"/>
        </w:rPr>
        <w:t>kladen na tržní oceňování</w:t>
      </w:r>
      <w:r w:rsidR="00EC5EFA" w:rsidRPr="007F0697">
        <w:rPr>
          <w:sz w:val="24"/>
          <w:szCs w:val="24"/>
        </w:rPr>
        <w:t>.</w:t>
      </w:r>
      <w:r w:rsidR="00CF2CD0" w:rsidRPr="007F0697">
        <w:rPr>
          <w:sz w:val="24"/>
          <w:szCs w:val="24"/>
        </w:rPr>
        <w:t xml:space="preserve"> </w:t>
      </w:r>
      <w:r w:rsidR="00EC5EFA" w:rsidRPr="007F0697">
        <w:rPr>
          <w:sz w:val="24"/>
          <w:szCs w:val="24"/>
        </w:rPr>
        <w:t>S</w:t>
      </w:r>
      <w:r w:rsidRPr="007F0697">
        <w:rPr>
          <w:sz w:val="24"/>
          <w:szCs w:val="24"/>
        </w:rPr>
        <w:t xml:space="preserve">oučástí výuky je </w:t>
      </w:r>
      <w:r w:rsidR="00D074F3" w:rsidRPr="007F0697">
        <w:rPr>
          <w:sz w:val="24"/>
          <w:szCs w:val="24"/>
        </w:rPr>
        <w:t xml:space="preserve">také </w:t>
      </w:r>
      <w:r w:rsidRPr="007F0697">
        <w:rPr>
          <w:sz w:val="24"/>
          <w:szCs w:val="24"/>
        </w:rPr>
        <w:t>stavební minimum</w:t>
      </w:r>
      <w:r w:rsidR="00EC5EFA" w:rsidRPr="007F0697">
        <w:rPr>
          <w:sz w:val="24"/>
          <w:szCs w:val="24"/>
        </w:rPr>
        <w:t xml:space="preserve">, účastníci </w:t>
      </w:r>
      <w:r w:rsidR="006A0F25">
        <w:rPr>
          <w:sz w:val="24"/>
          <w:szCs w:val="24"/>
        </w:rPr>
        <w:t>studia</w:t>
      </w:r>
      <w:r w:rsidR="00EC5EFA" w:rsidRPr="007F0697">
        <w:rPr>
          <w:sz w:val="24"/>
          <w:szCs w:val="24"/>
        </w:rPr>
        <w:t xml:space="preserve"> vypracovávají </w:t>
      </w:r>
      <w:r w:rsidR="00CD72CE" w:rsidRPr="007F0697">
        <w:rPr>
          <w:sz w:val="24"/>
          <w:szCs w:val="24"/>
        </w:rPr>
        <w:t xml:space="preserve">cvičné </w:t>
      </w:r>
      <w:r w:rsidR="000E4D7A" w:rsidRPr="007F0697">
        <w:rPr>
          <w:sz w:val="24"/>
          <w:szCs w:val="24"/>
        </w:rPr>
        <w:t>posudky</w:t>
      </w:r>
      <w:r w:rsidR="00012D0B" w:rsidRPr="007F0697">
        <w:rPr>
          <w:sz w:val="24"/>
          <w:szCs w:val="24"/>
        </w:rPr>
        <w:t>.</w:t>
      </w:r>
      <w:r w:rsidRPr="007F0697">
        <w:rPr>
          <w:sz w:val="24"/>
          <w:szCs w:val="24"/>
        </w:rPr>
        <w:t xml:space="preserve"> Studium je</w:t>
      </w:r>
      <w:r w:rsidR="000E4D7A" w:rsidRPr="007F0697">
        <w:rPr>
          <w:sz w:val="24"/>
          <w:szCs w:val="24"/>
        </w:rPr>
        <w:t xml:space="preserve"> </w:t>
      </w:r>
      <w:r w:rsidRPr="007F0697">
        <w:rPr>
          <w:sz w:val="24"/>
          <w:szCs w:val="24"/>
        </w:rPr>
        <w:t>ukončeno závěrečnou zkouškou</w:t>
      </w:r>
      <w:r w:rsidR="000E4D7A" w:rsidRPr="007F0697">
        <w:rPr>
          <w:sz w:val="24"/>
          <w:szCs w:val="24"/>
        </w:rPr>
        <w:t xml:space="preserve"> z klíčových předmětů.</w:t>
      </w:r>
    </w:p>
    <w:p w:rsidR="00664946" w:rsidRPr="00D032FC" w:rsidRDefault="00664946" w:rsidP="007F0697">
      <w:pPr>
        <w:rPr>
          <w:sz w:val="24"/>
          <w:szCs w:val="24"/>
        </w:rPr>
      </w:pPr>
      <w:r w:rsidRPr="00D032FC">
        <w:rPr>
          <w:sz w:val="24"/>
          <w:szCs w:val="24"/>
        </w:rPr>
        <w:t>Jádrem studia je zprostředkování základních znalostí potřebných k oceňování nemovitosti včetně různých</w:t>
      </w:r>
      <w:r w:rsidR="005C1585" w:rsidRPr="00D032FC">
        <w:rPr>
          <w:sz w:val="24"/>
          <w:szCs w:val="24"/>
        </w:rPr>
        <w:t xml:space="preserve"> problémů, se kterými se odhadce setkává. Studium má formu přednášek, doplněných cvičeními. Návazně jsou zařazeny případové studie, které jednak doplňují obecnější výklad a jednak poskytují představu o možné podobě oceňovací zprávy (případně znaleckého posudku). </w:t>
      </w:r>
      <w:r w:rsidR="005C1585" w:rsidRPr="00D032FC">
        <w:rPr>
          <w:b/>
          <w:sz w:val="24"/>
          <w:szCs w:val="24"/>
        </w:rPr>
        <w:t xml:space="preserve">Studium si neklade za cíl poskytovat </w:t>
      </w:r>
      <w:r w:rsidR="007F0697" w:rsidRPr="00D032FC">
        <w:rPr>
          <w:b/>
          <w:sz w:val="24"/>
          <w:szCs w:val="24"/>
        </w:rPr>
        <w:t xml:space="preserve">jednoznačná </w:t>
      </w:r>
      <w:r w:rsidR="005C1585" w:rsidRPr="00D032FC">
        <w:rPr>
          <w:b/>
          <w:sz w:val="24"/>
          <w:szCs w:val="24"/>
        </w:rPr>
        <w:t>vzorová ocenění</w:t>
      </w:r>
      <w:r w:rsidR="007F0697" w:rsidRPr="00D032FC">
        <w:rPr>
          <w:b/>
          <w:sz w:val="24"/>
          <w:szCs w:val="24"/>
        </w:rPr>
        <w:t xml:space="preserve"> a návody (kuchařky)</w:t>
      </w:r>
      <w:r w:rsidR="005C1585" w:rsidRPr="00D032FC">
        <w:rPr>
          <w:b/>
          <w:sz w:val="24"/>
          <w:szCs w:val="24"/>
        </w:rPr>
        <w:t xml:space="preserve">, </w:t>
      </w:r>
      <w:r w:rsidR="007F0697" w:rsidRPr="00D032FC">
        <w:rPr>
          <w:b/>
          <w:sz w:val="24"/>
          <w:szCs w:val="24"/>
        </w:rPr>
        <w:t>protože</w:t>
      </w:r>
      <w:r w:rsidR="005C1585" w:rsidRPr="00D032FC">
        <w:rPr>
          <w:b/>
          <w:sz w:val="24"/>
          <w:szCs w:val="24"/>
        </w:rPr>
        <w:t xml:space="preserve"> </w:t>
      </w:r>
      <w:r w:rsidR="007F0697" w:rsidRPr="00D032FC">
        <w:rPr>
          <w:b/>
          <w:sz w:val="24"/>
          <w:szCs w:val="24"/>
        </w:rPr>
        <w:t>ve znalecké praxi</w:t>
      </w:r>
      <w:r w:rsidR="005C1585" w:rsidRPr="00D032FC">
        <w:rPr>
          <w:b/>
          <w:sz w:val="24"/>
          <w:szCs w:val="24"/>
        </w:rPr>
        <w:t xml:space="preserve"> nic takového neexistuje</w:t>
      </w:r>
      <w:r w:rsidR="007F0697" w:rsidRPr="00D032FC">
        <w:rPr>
          <w:sz w:val="24"/>
          <w:szCs w:val="24"/>
        </w:rPr>
        <w:t>.</w:t>
      </w:r>
    </w:p>
    <w:p w:rsidR="0065440C" w:rsidRPr="007F0697" w:rsidRDefault="0065440C" w:rsidP="007F0697">
      <w:pPr>
        <w:rPr>
          <w:sz w:val="24"/>
          <w:szCs w:val="24"/>
        </w:rPr>
      </w:pPr>
      <w:r w:rsidRPr="007F0697">
        <w:rPr>
          <w:sz w:val="24"/>
          <w:szCs w:val="24"/>
        </w:rPr>
        <w:t xml:space="preserve">Vhodným předpokladem </w:t>
      </w:r>
      <w:r w:rsidRPr="007F0697">
        <w:rPr>
          <w:b/>
          <w:sz w:val="24"/>
          <w:szCs w:val="24"/>
        </w:rPr>
        <w:t xml:space="preserve">pro úspěšné </w:t>
      </w:r>
      <w:r w:rsidR="00E753A8" w:rsidRPr="007F0697">
        <w:rPr>
          <w:b/>
          <w:sz w:val="24"/>
          <w:szCs w:val="24"/>
        </w:rPr>
        <w:t xml:space="preserve">zvládnutí </w:t>
      </w:r>
      <w:r w:rsidR="006A0F25">
        <w:rPr>
          <w:b/>
          <w:sz w:val="24"/>
          <w:szCs w:val="24"/>
        </w:rPr>
        <w:t>studia</w:t>
      </w:r>
      <w:r w:rsidRPr="007F0697">
        <w:rPr>
          <w:sz w:val="24"/>
          <w:szCs w:val="24"/>
        </w:rPr>
        <w:t xml:space="preserve"> je </w:t>
      </w:r>
      <w:r w:rsidRPr="007F0697">
        <w:rPr>
          <w:b/>
          <w:sz w:val="24"/>
          <w:szCs w:val="24"/>
        </w:rPr>
        <w:t>ukončené vysokoškolské</w:t>
      </w:r>
      <w:r w:rsidR="002C67EA" w:rsidRPr="007F0697">
        <w:rPr>
          <w:b/>
          <w:sz w:val="24"/>
          <w:szCs w:val="24"/>
        </w:rPr>
        <w:t>,</w:t>
      </w:r>
      <w:r w:rsidRPr="007F0697">
        <w:rPr>
          <w:b/>
          <w:sz w:val="24"/>
          <w:szCs w:val="24"/>
        </w:rPr>
        <w:t xml:space="preserve"> případně středoškolské</w:t>
      </w:r>
      <w:r w:rsidR="002C67EA" w:rsidRPr="007F0697">
        <w:rPr>
          <w:b/>
          <w:sz w:val="24"/>
          <w:szCs w:val="24"/>
        </w:rPr>
        <w:t>,</w:t>
      </w:r>
      <w:r w:rsidRPr="007F0697">
        <w:rPr>
          <w:b/>
          <w:sz w:val="24"/>
          <w:szCs w:val="24"/>
        </w:rPr>
        <w:t xml:space="preserve"> studium stavebního směru</w:t>
      </w:r>
      <w:r w:rsidRPr="007F0697">
        <w:rPr>
          <w:sz w:val="24"/>
          <w:szCs w:val="24"/>
        </w:rPr>
        <w:t xml:space="preserve"> </w:t>
      </w:r>
      <w:r w:rsidRPr="007F0697">
        <w:rPr>
          <w:b/>
          <w:sz w:val="24"/>
          <w:szCs w:val="24"/>
        </w:rPr>
        <w:t xml:space="preserve">nebo </w:t>
      </w:r>
      <w:r w:rsidR="006A32B1" w:rsidRPr="00D83DA5">
        <w:rPr>
          <w:b/>
          <w:sz w:val="24"/>
          <w:szCs w:val="24"/>
        </w:rPr>
        <w:t>alespoň</w:t>
      </w:r>
      <w:r w:rsidR="006A32B1">
        <w:rPr>
          <w:b/>
          <w:sz w:val="24"/>
          <w:szCs w:val="24"/>
        </w:rPr>
        <w:t xml:space="preserve"> </w:t>
      </w:r>
      <w:r w:rsidRPr="007F0697">
        <w:rPr>
          <w:b/>
          <w:sz w:val="24"/>
          <w:szCs w:val="24"/>
        </w:rPr>
        <w:t>vysokoškolské vzdělání nestavebního zaměření</w:t>
      </w:r>
      <w:r w:rsidRPr="007F0697">
        <w:rPr>
          <w:sz w:val="24"/>
          <w:szCs w:val="24"/>
        </w:rPr>
        <w:t xml:space="preserve"> (ekonomové, právníci, zemědělští inženýři atd.). </w:t>
      </w:r>
    </w:p>
    <w:p w:rsidR="0024734B" w:rsidRPr="007F0697" w:rsidRDefault="0024734B" w:rsidP="007F0697">
      <w:pPr>
        <w:rPr>
          <w:sz w:val="24"/>
          <w:szCs w:val="24"/>
        </w:rPr>
      </w:pPr>
      <w:r w:rsidRPr="007F0697">
        <w:rPr>
          <w:sz w:val="24"/>
          <w:szCs w:val="24"/>
        </w:rPr>
        <w:t xml:space="preserve">Po úspěšném zakončení </w:t>
      </w:r>
      <w:r w:rsidR="006A0F25">
        <w:rPr>
          <w:sz w:val="24"/>
          <w:szCs w:val="24"/>
        </w:rPr>
        <w:t>studia</w:t>
      </w:r>
      <w:r w:rsidRPr="007F0697">
        <w:rPr>
          <w:sz w:val="24"/>
          <w:szCs w:val="24"/>
        </w:rPr>
        <w:t xml:space="preserve"> získá účastník osvědčení VŠE, které </w:t>
      </w:r>
      <w:r w:rsidR="00EF5E51" w:rsidRPr="007F0697">
        <w:rPr>
          <w:sz w:val="24"/>
          <w:szCs w:val="24"/>
        </w:rPr>
        <w:t xml:space="preserve">odpovídá požadavkům </w:t>
      </w:r>
      <w:r w:rsidR="00EF5E51" w:rsidRPr="007F0697">
        <w:rPr>
          <w:b/>
          <w:sz w:val="24"/>
          <w:szCs w:val="24"/>
        </w:rPr>
        <w:t>živnostenského oprávnění</w:t>
      </w:r>
      <w:r w:rsidR="00EF5E51" w:rsidRPr="007F0697">
        <w:rPr>
          <w:sz w:val="24"/>
          <w:szCs w:val="24"/>
        </w:rPr>
        <w:t xml:space="preserve"> dle zákona č. 455/1991 Sb.</w:t>
      </w:r>
      <w:r w:rsidR="00437070" w:rsidRPr="007F0697">
        <w:rPr>
          <w:sz w:val="24"/>
          <w:szCs w:val="24"/>
        </w:rPr>
        <w:t>,</w:t>
      </w:r>
      <w:r w:rsidR="00EF5E51" w:rsidRPr="007F0697">
        <w:rPr>
          <w:sz w:val="24"/>
          <w:szCs w:val="24"/>
        </w:rPr>
        <w:t xml:space="preserve"> </w:t>
      </w:r>
      <w:r w:rsidR="00437070" w:rsidRPr="007F0697">
        <w:rPr>
          <w:sz w:val="24"/>
          <w:szCs w:val="24"/>
        </w:rPr>
        <w:t>o</w:t>
      </w:r>
      <w:r w:rsidR="00EF5E51" w:rsidRPr="007F0697">
        <w:rPr>
          <w:sz w:val="24"/>
          <w:szCs w:val="24"/>
        </w:rPr>
        <w:t xml:space="preserve"> živnostenském podnikání</w:t>
      </w:r>
      <w:r w:rsidR="00C25DA5" w:rsidRPr="007F0697">
        <w:rPr>
          <w:sz w:val="24"/>
          <w:szCs w:val="24"/>
        </w:rPr>
        <w:t>,</w:t>
      </w:r>
      <w:r w:rsidR="00EF5E51" w:rsidRPr="007F0697">
        <w:rPr>
          <w:sz w:val="24"/>
          <w:szCs w:val="24"/>
        </w:rPr>
        <w:t xml:space="preserve"> přílohy č. 2 pro předmět podnikání Oceňování majetku pro věci nemovité.</w:t>
      </w:r>
      <w:r w:rsidR="00012D0B" w:rsidRPr="007F0697">
        <w:rPr>
          <w:sz w:val="24"/>
          <w:szCs w:val="24"/>
        </w:rPr>
        <w:t xml:space="preserve"> </w:t>
      </w:r>
      <w:r w:rsidR="00814943" w:rsidRPr="007F0697">
        <w:rPr>
          <w:sz w:val="24"/>
          <w:szCs w:val="24"/>
        </w:rPr>
        <w:t>Ú</w:t>
      </w:r>
      <w:r w:rsidR="00012D0B" w:rsidRPr="007F0697">
        <w:rPr>
          <w:sz w:val="24"/>
          <w:szCs w:val="24"/>
        </w:rPr>
        <w:t xml:space="preserve">spěšní absolventi </w:t>
      </w:r>
      <w:r w:rsidR="006A0F25">
        <w:rPr>
          <w:sz w:val="24"/>
          <w:szCs w:val="24"/>
        </w:rPr>
        <w:t>studia</w:t>
      </w:r>
      <w:r w:rsidR="00012D0B" w:rsidRPr="007F0697">
        <w:rPr>
          <w:sz w:val="24"/>
          <w:szCs w:val="24"/>
        </w:rPr>
        <w:t xml:space="preserve"> tedy mohou získat živnostenské oprávnění k výkonu Oceňování majetku pro věci nemovité</w:t>
      </w:r>
      <w:r w:rsidR="00814943" w:rsidRPr="007F0697">
        <w:rPr>
          <w:sz w:val="24"/>
          <w:szCs w:val="24"/>
        </w:rPr>
        <w:t xml:space="preserve">, </w:t>
      </w:r>
      <w:r w:rsidR="00814943" w:rsidRPr="007F0697">
        <w:rPr>
          <w:b/>
          <w:sz w:val="24"/>
          <w:szCs w:val="24"/>
        </w:rPr>
        <w:t>pokud splňují i ostatní podmínky</w:t>
      </w:r>
      <w:r w:rsidR="00814943" w:rsidRPr="007F0697">
        <w:rPr>
          <w:sz w:val="24"/>
          <w:szCs w:val="24"/>
        </w:rPr>
        <w:t xml:space="preserve"> stanovené v aktuálním znění živnostenského zákona</w:t>
      </w:r>
      <w:r w:rsidR="00012D0B" w:rsidRPr="007F0697">
        <w:rPr>
          <w:sz w:val="24"/>
          <w:szCs w:val="24"/>
        </w:rPr>
        <w:t>.</w:t>
      </w:r>
      <w:r w:rsidR="006D44E1" w:rsidRPr="007F0697">
        <w:rPr>
          <w:sz w:val="24"/>
          <w:szCs w:val="24"/>
        </w:rPr>
        <w:t xml:space="preserve"> Požadavek jen na určitý typ výchozího vzdělání pro pozdější získání živnostenského oprávnění nebo jmenování soudním znalcem bývá poměrně často upravován, je tedy v zájmu uchazečů, aby změny sledovali.</w:t>
      </w:r>
    </w:p>
    <w:p w:rsidR="00814943" w:rsidRDefault="00814943" w:rsidP="007F0697">
      <w:pPr>
        <w:rPr>
          <w:sz w:val="24"/>
          <w:szCs w:val="24"/>
        </w:rPr>
      </w:pPr>
      <w:bookmarkStart w:id="0" w:name="OLE_LINK1"/>
      <w:r w:rsidRPr="007F0697">
        <w:rPr>
          <w:sz w:val="24"/>
          <w:szCs w:val="24"/>
        </w:rPr>
        <w:t>Toto osvědčení</w:t>
      </w:r>
      <w:r w:rsidR="00FE0B49" w:rsidRPr="007F0697">
        <w:rPr>
          <w:sz w:val="24"/>
          <w:szCs w:val="24"/>
        </w:rPr>
        <w:t xml:space="preserve"> vydávané </w:t>
      </w:r>
      <w:r w:rsidR="00450790" w:rsidRPr="007F0697">
        <w:rPr>
          <w:sz w:val="24"/>
          <w:szCs w:val="24"/>
        </w:rPr>
        <w:t xml:space="preserve">IOM </w:t>
      </w:r>
      <w:r w:rsidRPr="007F0697">
        <w:rPr>
          <w:sz w:val="24"/>
          <w:szCs w:val="24"/>
        </w:rPr>
        <w:t xml:space="preserve">VŠE je </w:t>
      </w:r>
      <w:r w:rsidR="00EC5EFA" w:rsidRPr="007F0697">
        <w:rPr>
          <w:sz w:val="24"/>
          <w:szCs w:val="24"/>
        </w:rPr>
        <w:t xml:space="preserve">též </w:t>
      </w:r>
      <w:r w:rsidR="00450790" w:rsidRPr="007F0697">
        <w:rPr>
          <w:sz w:val="24"/>
          <w:szCs w:val="24"/>
        </w:rPr>
        <w:t xml:space="preserve">dokladem o absolvování </w:t>
      </w:r>
      <w:r w:rsidR="00450790" w:rsidRPr="007F0697">
        <w:rPr>
          <w:b/>
          <w:sz w:val="24"/>
          <w:szCs w:val="24"/>
        </w:rPr>
        <w:t>speciální výuky</w:t>
      </w:r>
      <w:r w:rsidRPr="007F0697">
        <w:rPr>
          <w:b/>
          <w:sz w:val="24"/>
          <w:szCs w:val="24"/>
        </w:rPr>
        <w:t xml:space="preserve"> požadované pro znaleckou činnost</w:t>
      </w:r>
      <w:r w:rsidRPr="007F0697">
        <w:rPr>
          <w:sz w:val="24"/>
          <w:szCs w:val="24"/>
        </w:rPr>
        <w:t xml:space="preserve"> ve smyslu ustanovení § 4, odst. 1, písm. e) Zákona č. 36/1967 Sb. o znalcích a tlumočnících. Absolvování </w:t>
      </w:r>
      <w:r w:rsidR="006A0F25">
        <w:rPr>
          <w:sz w:val="24"/>
          <w:szCs w:val="24"/>
        </w:rPr>
        <w:t>studia</w:t>
      </w:r>
      <w:r w:rsidRPr="007F0697">
        <w:rPr>
          <w:sz w:val="24"/>
          <w:szCs w:val="24"/>
        </w:rPr>
        <w:t xml:space="preserve"> však </w:t>
      </w:r>
      <w:r w:rsidRPr="007F0697">
        <w:rPr>
          <w:b/>
          <w:sz w:val="24"/>
          <w:szCs w:val="24"/>
        </w:rPr>
        <w:t>nezakládá právní nárok na jmenování znalcem</w:t>
      </w:r>
      <w:r w:rsidRPr="007F0697">
        <w:rPr>
          <w:sz w:val="24"/>
          <w:szCs w:val="24"/>
        </w:rPr>
        <w:t xml:space="preserve">. </w:t>
      </w:r>
      <w:r w:rsidRPr="007F0697">
        <w:rPr>
          <w:b/>
          <w:sz w:val="24"/>
          <w:szCs w:val="24"/>
        </w:rPr>
        <w:t>Jmenování je ve výlučné kompetenci ministra spravedlnosti nebo předsedy</w:t>
      </w:r>
      <w:r w:rsidR="00F52A72" w:rsidRPr="007F0697">
        <w:rPr>
          <w:b/>
          <w:sz w:val="24"/>
          <w:szCs w:val="24"/>
        </w:rPr>
        <w:t>/předsedkyně</w:t>
      </w:r>
      <w:r w:rsidRPr="007F0697">
        <w:rPr>
          <w:b/>
          <w:sz w:val="24"/>
          <w:szCs w:val="24"/>
        </w:rPr>
        <w:t xml:space="preserve"> krajského (v Praze městského) soudu</w:t>
      </w:r>
      <w:r w:rsidRPr="007F0697">
        <w:rPr>
          <w:sz w:val="24"/>
          <w:szCs w:val="24"/>
        </w:rPr>
        <w:t xml:space="preserve"> podle místa bydliště ve smyslu zákona č. 36/1967 Sb. a vyhlášky č. 37/1967 Sb.</w:t>
      </w:r>
      <w:r w:rsidR="000672D7" w:rsidRPr="007F0697">
        <w:rPr>
          <w:sz w:val="24"/>
          <w:szCs w:val="24"/>
        </w:rPr>
        <w:t>,</w:t>
      </w:r>
      <w:r w:rsidRPr="007F0697">
        <w:rPr>
          <w:sz w:val="24"/>
          <w:szCs w:val="24"/>
        </w:rPr>
        <w:t xml:space="preserve"> </w:t>
      </w:r>
      <w:r w:rsidR="000672D7" w:rsidRPr="007F0697">
        <w:rPr>
          <w:sz w:val="24"/>
          <w:szCs w:val="24"/>
        </w:rPr>
        <w:t>a</w:t>
      </w:r>
      <w:r w:rsidR="0068085D" w:rsidRPr="007F0697">
        <w:rPr>
          <w:sz w:val="24"/>
          <w:szCs w:val="24"/>
        </w:rPr>
        <w:t>bsolvování speciální výuky je jedn</w:t>
      </w:r>
      <w:r w:rsidR="00EC5EFA" w:rsidRPr="007F0697">
        <w:rPr>
          <w:sz w:val="24"/>
          <w:szCs w:val="24"/>
        </w:rPr>
        <w:t>ím</w:t>
      </w:r>
      <w:r w:rsidR="0068085D" w:rsidRPr="007F0697">
        <w:rPr>
          <w:sz w:val="24"/>
          <w:szCs w:val="24"/>
        </w:rPr>
        <w:t xml:space="preserve"> z požad</w:t>
      </w:r>
      <w:r w:rsidR="00EC5EFA" w:rsidRPr="007F0697">
        <w:rPr>
          <w:sz w:val="24"/>
          <w:szCs w:val="24"/>
        </w:rPr>
        <w:t>avků</w:t>
      </w:r>
      <w:r w:rsidR="0068085D" w:rsidRPr="007F0697">
        <w:rPr>
          <w:sz w:val="24"/>
          <w:szCs w:val="24"/>
        </w:rPr>
        <w:t>. Proto doporučujeme, aby se zájemci o jmenování soudním znalcem seznámili u příslušného soudu s aktuálními podmínkami pro přijetí žádosti o jmenování znalcem. Podle našich informací v současnosti soud</w:t>
      </w:r>
      <w:r w:rsidR="001D6851" w:rsidRPr="007F0697">
        <w:rPr>
          <w:sz w:val="24"/>
          <w:szCs w:val="24"/>
        </w:rPr>
        <w:t>y</w:t>
      </w:r>
      <w:r w:rsidR="0068085D" w:rsidRPr="007F0697">
        <w:rPr>
          <w:sz w:val="24"/>
          <w:szCs w:val="24"/>
        </w:rPr>
        <w:t xml:space="preserve"> v ČR přistupuj</w:t>
      </w:r>
      <w:r w:rsidR="001D6851" w:rsidRPr="007F0697">
        <w:rPr>
          <w:sz w:val="24"/>
          <w:szCs w:val="24"/>
        </w:rPr>
        <w:t>í</w:t>
      </w:r>
      <w:r w:rsidR="0068085D" w:rsidRPr="007F0697">
        <w:rPr>
          <w:sz w:val="24"/>
          <w:szCs w:val="24"/>
        </w:rPr>
        <w:t xml:space="preserve"> ke jmenování soudním znalcem pouze u absolventů </w:t>
      </w:r>
      <w:r w:rsidR="001D6851" w:rsidRPr="007F0697">
        <w:rPr>
          <w:sz w:val="24"/>
          <w:szCs w:val="24"/>
        </w:rPr>
        <w:t>vysokoškolského stavebního vzdělání v inženýrském (magisterském) studijním programu</w:t>
      </w:r>
      <w:r w:rsidR="0068085D" w:rsidRPr="007F0697">
        <w:rPr>
          <w:sz w:val="24"/>
          <w:szCs w:val="24"/>
        </w:rPr>
        <w:t xml:space="preserve"> s dostatečnou praxí a </w:t>
      </w:r>
      <w:r w:rsidR="001D6851" w:rsidRPr="007F0697">
        <w:rPr>
          <w:sz w:val="24"/>
          <w:szCs w:val="24"/>
        </w:rPr>
        <w:t>po úspěšně absolvovaném písemném testu a ústním pohovoru</w:t>
      </w:r>
      <w:r w:rsidR="0068085D" w:rsidRPr="007F0697">
        <w:rPr>
          <w:sz w:val="24"/>
          <w:szCs w:val="24"/>
        </w:rPr>
        <w:t>.</w:t>
      </w:r>
    </w:p>
    <w:p w:rsidR="0018490B" w:rsidRPr="007F0697" w:rsidRDefault="0018490B" w:rsidP="007F0697">
      <w:pPr>
        <w:rPr>
          <w:sz w:val="24"/>
          <w:szCs w:val="24"/>
        </w:rPr>
      </w:pPr>
      <w:r w:rsidRPr="001271D3">
        <w:rPr>
          <w:sz w:val="24"/>
          <w:szCs w:val="24"/>
        </w:rPr>
        <w:t xml:space="preserve">Důrazně ale upozorňujeme, že </w:t>
      </w:r>
      <w:r w:rsidRPr="001271D3">
        <w:rPr>
          <w:b/>
          <w:sz w:val="24"/>
          <w:szCs w:val="24"/>
        </w:rPr>
        <w:t>odborníkem na oceňování nemovitých věcí se úspěšný absolvent studia může stát až po následné dostatečné praxi</w:t>
      </w:r>
      <w:r w:rsidRPr="001271D3">
        <w:rPr>
          <w:sz w:val="24"/>
          <w:szCs w:val="24"/>
        </w:rPr>
        <w:t xml:space="preserve"> </w:t>
      </w:r>
      <w:r w:rsidR="00C02EEE" w:rsidRPr="001271D3">
        <w:rPr>
          <w:sz w:val="24"/>
          <w:szCs w:val="24"/>
        </w:rPr>
        <w:t xml:space="preserve">získané </w:t>
      </w:r>
      <w:r w:rsidRPr="001271D3">
        <w:rPr>
          <w:sz w:val="24"/>
          <w:szCs w:val="24"/>
        </w:rPr>
        <w:t xml:space="preserve">pod vedením zkušeného specialisty nebo </w:t>
      </w:r>
      <w:r w:rsidR="00C02EEE" w:rsidRPr="001271D3">
        <w:rPr>
          <w:sz w:val="24"/>
          <w:szCs w:val="24"/>
        </w:rPr>
        <w:t>ve znaleckém ústavu. Toto studium je tedy nezbytnou podmínkou pro získání odbornosti, ale samo bez praxe k získání odbornosti nestačí.</w:t>
      </w:r>
    </w:p>
    <w:bookmarkEnd w:id="0"/>
    <w:p w:rsidR="0024734B" w:rsidRPr="007F0697" w:rsidRDefault="0024734B" w:rsidP="007F0697">
      <w:pPr>
        <w:rPr>
          <w:sz w:val="24"/>
          <w:szCs w:val="24"/>
        </w:rPr>
      </w:pPr>
      <w:r w:rsidRPr="007F0697">
        <w:rPr>
          <w:sz w:val="24"/>
          <w:szCs w:val="24"/>
        </w:rPr>
        <w:t xml:space="preserve">Absolventi mají po ukončení </w:t>
      </w:r>
      <w:r w:rsidR="006A0F25">
        <w:rPr>
          <w:sz w:val="24"/>
          <w:szCs w:val="24"/>
        </w:rPr>
        <w:t>studia</w:t>
      </w:r>
      <w:r w:rsidR="0068085D" w:rsidRPr="007F0697">
        <w:rPr>
          <w:sz w:val="24"/>
          <w:szCs w:val="24"/>
        </w:rPr>
        <w:t xml:space="preserve"> dále</w:t>
      </w:r>
      <w:r w:rsidRPr="007F0697">
        <w:rPr>
          <w:sz w:val="24"/>
          <w:szCs w:val="24"/>
        </w:rPr>
        <w:t xml:space="preserve"> možnost přihlásit se k </w:t>
      </w:r>
      <w:r w:rsidRPr="007F0697">
        <w:rPr>
          <w:b/>
          <w:sz w:val="24"/>
          <w:szCs w:val="24"/>
        </w:rPr>
        <w:t>personální certifikaci p</w:t>
      </w:r>
      <w:r w:rsidR="00084DCA" w:rsidRPr="007F0697">
        <w:rPr>
          <w:b/>
          <w:sz w:val="24"/>
          <w:szCs w:val="24"/>
        </w:rPr>
        <w:t>odle normy ČSN EN ISO/IEC 17024</w:t>
      </w:r>
      <w:r w:rsidR="00084DCA" w:rsidRPr="007F0697">
        <w:rPr>
          <w:sz w:val="24"/>
          <w:szCs w:val="24"/>
        </w:rPr>
        <w:t xml:space="preserve">, kterou provádí </w:t>
      </w:r>
      <w:r w:rsidR="00365BCF" w:rsidRPr="007F0697">
        <w:rPr>
          <w:sz w:val="24"/>
          <w:szCs w:val="24"/>
        </w:rPr>
        <w:t xml:space="preserve">např. </w:t>
      </w:r>
      <w:r w:rsidR="00084DCA" w:rsidRPr="007F0697">
        <w:rPr>
          <w:sz w:val="24"/>
          <w:szCs w:val="24"/>
        </w:rPr>
        <w:t>Certifikační ústav VŠE, akreditov</w:t>
      </w:r>
      <w:r w:rsidR="00365BCF" w:rsidRPr="007F0697">
        <w:rPr>
          <w:sz w:val="24"/>
          <w:szCs w:val="24"/>
        </w:rPr>
        <w:t>aný</w:t>
      </w:r>
      <w:r w:rsidR="00084DCA" w:rsidRPr="007F0697">
        <w:rPr>
          <w:sz w:val="24"/>
          <w:szCs w:val="24"/>
        </w:rPr>
        <w:t xml:space="preserve"> u Českého institutu pro akreditaci, o.p.s. </w:t>
      </w:r>
      <w:r w:rsidR="002503CD" w:rsidRPr="007F0697">
        <w:rPr>
          <w:sz w:val="24"/>
          <w:szCs w:val="24"/>
        </w:rPr>
        <w:t>Je možné</w:t>
      </w:r>
      <w:r w:rsidRPr="007F0697">
        <w:rPr>
          <w:sz w:val="24"/>
          <w:szCs w:val="24"/>
        </w:rPr>
        <w:t xml:space="preserve"> předpokládat, že </w:t>
      </w:r>
      <w:r w:rsidR="00084DCA" w:rsidRPr="007F0697">
        <w:rPr>
          <w:sz w:val="24"/>
          <w:szCs w:val="24"/>
        </w:rPr>
        <w:t xml:space="preserve">tato </w:t>
      </w:r>
      <w:r w:rsidRPr="007F0697">
        <w:rPr>
          <w:sz w:val="24"/>
          <w:szCs w:val="24"/>
        </w:rPr>
        <w:t xml:space="preserve">certifikace </w:t>
      </w:r>
      <w:r w:rsidR="00084DCA" w:rsidRPr="007F0697">
        <w:rPr>
          <w:sz w:val="24"/>
          <w:szCs w:val="24"/>
        </w:rPr>
        <w:t xml:space="preserve">se </w:t>
      </w:r>
      <w:r w:rsidRPr="007F0697">
        <w:rPr>
          <w:sz w:val="24"/>
          <w:szCs w:val="24"/>
        </w:rPr>
        <w:t>postupně stane jednou se základních forem, jak prokazovat kvalifikaci pro oceňování majetku.</w:t>
      </w:r>
    </w:p>
    <w:p w:rsidR="00D92118" w:rsidRPr="007F0697" w:rsidRDefault="00D92118" w:rsidP="00E57A8F">
      <w:pPr>
        <w:spacing w:after="0" w:line="240" w:lineRule="exact"/>
        <w:rPr>
          <w:b/>
          <w:sz w:val="24"/>
          <w:szCs w:val="24"/>
        </w:rPr>
      </w:pPr>
    </w:p>
    <w:p w:rsidR="007F0697" w:rsidRDefault="007F0697" w:rsidP="007F0697">
      <w:pPr>
        <w:keepNext/>
        <w:spacing w:before="240" w:after="240"/>
        <w:rPr>
          <w:b/>
          <w:sz w:val="28"/>
        </w:rPr>
      </w:pPr>
    </w:p>
    <w:p w:rsidR="00C25DA5" w:rsidRPr="007F0697" w:rsidRDefault="00C25DA5" w:rsidP="007F0697">
      <w:pPr>
        <w:keepNext/>
        <w:spacing w:before="240" w:after="240"/>
        <w:rPr>
          <w:b/>
          <w:sz w:val="28"/>
        </w:rPr>
      </w:pPr>
      <w:r w:rsidRPr="007F0697">
        <w:rPr>
          <w:b/>
          <w:sz w:val="28"/>
        </w:rPr>
        <w:t>2. Základní informace</w:t>
      </w:r>
    </w:p>
    <w:p w:rsidR="0024734B" w:rsidRPr="007F0697" w:rsidRDefault="0024734B" w:rsidP="007F0697">
      <w:pPr>
        <w:keepNext/>
        <w:rPr>
          <w:sz w:val="24"/>
          <w:szCs w:val="24"/>
        </w:rPr>
      </w:pPr>
      <w:r w:rsidRPr="007F0697">
        <w:rPr>
          <w:sz w:val="24"/>
          <w:szCs w:val="24"/>
        </w:rPr>
        <w:t>Vyplněnou a podepsanou</w:t>
      </w:r>
      <w:r w:rsidRPr="007F0697">
        <w:rPr>
          <w:b/>
          <w:sz w:val="24"/>
          <w:szCs w:val="24"/>
        </w:rPr>
        <w:t xml:space="preserve"> závaznou</w:t>
      </w:r>
      <w:r w:rsidRPr="007F0697">
        <w:rPr>
          <w:sz w:val="24"/>
          <w:szCs w:val="24"/>
        </w:rPr>
        <w:t xml:space="preserve"> </w:t>
      </w:r>
      <w:r w:rsidRPr="007F0697">
        <w:rPr>
          <w:b/>
          <w:sz w:val="24"/>
          <w:szCs w:val="24"/>
        </w:rPr>
        <w:t>přihlášku</w:t>
      </w:r>
      <w:r w:rsidRPr="007F0697">
        <w:rPr>
          <w:sz w:val="24"/>
          <w:szCs w:val="24"/>
        </w:rPr>
        <w:t xml:space="preserve"> včetně příloh je třeba </w:t>
      </w:r>
      <w:r w:rsidRPr="007F0697">
        <w:rPr>
          <w:b/>
          <w:sz w:val="24"/>
          <w:szCs w:val="24"/>
        </w:rPr>
        <w:t xml:space="preserve">zaslat do </w:t>
      </w:r>
      <w:r w:rsidR="009C3C48">
        <w:rPr>
          <w:b/>
          <w:sz w:val="24"/>
          <w:szCs w:val="24"/>
        </w:rPr>
        <w:t>30.</w:t>
      </w:r>
      <w:r w:rsidR="005D7723" w:rsidRPr="007F0697">
        <w:rPr>
          <w:b/>
          <w:sz w:val="24"/>
          <w:szCs w:val="24"/>
        </w:rPr>
        <w:t xml:space="preserve"> </w:t>
      </w:r>
      <w:r w:rsidR="00450790" w:rsidRPr="007F0697">
        <w:rPr>
          <w:b/>
          <w:sz w:val="24"/>
          <w:szCs w:val="24"/>
        </w:rPr>
        <w:t>října</w:t>
      </w:r>
      <w:r w:rsidR="008673C0" w:rsidRPr="007F0697">
        <w:rPr>
          <w:b/>
          <w:sz w:val="24"/>
          <w:szCs w:val="24"/>
        </w:rPr>
        <w:t xml:space="preserve"> 201</w:t>
      </w:r>
      <w:r w:rsidR="00C858C4">
        <w:rPr>
          <w:b/>
          <w:sz w:val="24"/>
          <w:szCs w:val="24"/>
        </w:rPr>
        <w:t>9</w:t>
      </w:r>
      <w:r w:rsidRPr="007F0697">
        <w:rPr>
          <w:sz w:val="24"/>
          <w:szCs w:val="24"/>
        </w:rPr>
        <w:t xml:space="preserve"> na adresu IOM</w:t>
      </w:r>
      <w:r w:rsidR="005D7723" w:rsidRPr="007F0697">
        <w:rPr>
          <w:sz w:val="24"/>
          <w:szCs w:val="24"/>
        </w:rPr>
        <w:t xml:space="preserve"> emailem</w:t>
      </w:r>
      <w:r w:rsidR="00365BCF" w:rsidRPr="007F0697">
        <w:rPr>
          <w:sz w:val="24"/>
          <w:szCs w:val="24"/>
        </w:rPr>
        <w:t xml:space="preserve"> (iom@vse.cz; renata.budilova@vse.cz)</w:t>
      </w:r>
      <w:r w:rsidR="005D7723" w:rsidRPr="007F0697">
        <w:rPr>
          <w:sz w:val="24"/>
          <w:szCs w:val="24"/>
        </w:rPr>
        <w:t xml:space="preserve"> nebo poštou</w:t>
      </w:r>
      <w:r w:rsidRPr="007F0697">
        <w:rPr>
          <w:sz w:val="24"/>
          <w:szCs w:val="24"/>
        </w:rPr>
        <w:t>.</w:t>
      </w:r>
    </w:p>
    <w:p w:rsidR="0024734B" w:rsidRPr="007F0697" w:rsidRDefault="0024734B" w:rsidP="007F0697">
      <w:pPr>
        <w:keepNext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F0697">
        <w:rPr>
          <w:sz w:val="24"/>
          <w:szCs w:val="24"/>
        </w:rPr>
        <w:t>Studium je pořádáno jako dálkové s odbornými konzultacemi</w:t>
      </w:r>
      <w:r w:rsidR="00EF52DE" w:rsidRPr="007F0697">
        <w:rPr>
          <w:sz w:val="24"/>
          <w:szCs w:val="24"/>
        </w:rPr>
        <w:t xml:space="preserve">, které probíhají </w:t>
      </w:r>
      <w:r w:rsidR="004E062C" w:rsidRPr="007F0697">
        <w:rPr>
          <w:sz w:val="24"/>
          <w:szCs w:val="24"/>
        </w:rPr>
        <w:t xml:space="preserve">ve dvoudenních soustředěních </w:t>
      </w:r>
      <w:r w:rsidR="002B25E6">
        <w:rPr>
          <w:sz w:val="24"/>
          <w:szCs w:val="24"/>
        </w:rPr>
        <w:t xml:space="preserve">- </w:t>
      </w:r>
      <w:r w:rsidR="004E062C" w:rsidRPr="00CB0501">
        <w:rPr>
          <w:sz w:val="24"/>
          <w:szCs w:val="24"/>
        </w:rPr>
        <w:t>pátek</w:t>
      </w:r>
      <w:r w:rsidR="002E7D49" w:rsidRPr="00CB0501">
        <w:rPr>
          <w:sz w:val="24"/>
          <w:szCs w:val="24"/>
        </w:rPr>
        <w:t xml:space="preserve"> odpoledne</w:t>
      </w:r>
      <w:r w:rsidR="002B25E6" w:rsidRPr="00CB0501">
        <w:rPr>
          <w:sz w:val="24"/>
          <w:szCs w:val="24"/>
        </w:rPr>
        <w:t xml:space="preserve"> (případně celý den)</w:t>
      </w:r>
      <w:r w:rsidR="004E062C" w:rsidRPr="00CB0501">
        <w:rPr>
          <w:sz w:val="24"/>
          <w:szCs w:val="24"/>
        </w:rPr>
        <w:t>, sobota</w:t>
      </w:r>
      <w:r w:rsidR="002E7D49" w:rsidRPr="00CB0501">
        <w:rPr>
          <w:sz w:val="24"/>
          <w:szCs w:val="24"/>
        </w:rPr>
        <w:t xml:space="preserve"> celý den</w:t>
      </w:r>
      <w:r w:rsidR="00015887" w:rsidRPr="007F0697">
        <w:rPr>
          <w:sz w:val="24"/>
          <w:szCs w:val="24"/>
        </w:rPr>
        <w:t xml:space="preserve">, </w:t>
      </w:r>
      <w:r w:rsidR="004E062C" w:rsidRPr="007F0697">
        <w:rPr>
          <w:sz w:val="24"/>
          <w:szCs w:val="24"/>
        </w:rPr>
        <w:t>v budově VŠE na Praze 3</w:t>
      </w:r>
      <w:r w:rsidR="00F93971" w:rsidRPr="007F0697">
        <w:rPr>
          <w:sz w:val="24"/>
          <w:szCs w:val="24"/>
        </w:rPr>
        <w:t>, náměstí W. Churchilla 4</w:t>
      </w:r>
      <w:r w:rsidR="004E062C" w:rsidRPr="007F0697">
        <w:rPr>
          <w:sz w:val="24"/>
          <w:szCs w:val="24"/>
        </w:rPr>
        <w:t>.</w:t>
      </w:r>
    </w:p>
    <w:p w:rsidR="0024734B" w:rsidRPr="007F0697" w:rsidRDefault="0024734B" w:rsidP="007F0697">
      <w:pPr>
        <w:keepNext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F0697">
        <w:rPr>
          <w:sz w:val="24"/>
          <w:szCs w:val="24"/>
        </w:rPr>
        <w:t xml:space="preserve">Vložné činí </w:t>
      </w:r>
      <w:r w:rsidR="00900F74" w:rsidRPr="007F0697">
        <w:rPr>
          <w:sz w:val="24"/>
          <w:szCs w:val="24"/>
        </w:rPr>
        <w:t xml:space="preserve">Kč </w:t>
      </w:r>
      <w:r w:rsidR="00FF5C3E">
        <w:rPr>
          <w:sz w:val="24"/>
          <w:szCs w:val="24"/>
        </w:rPr>
        <w:t>50</w:t>
      </w:r>
      <w:r w:rsidRPr="007F0697">
        <w:rPr>
          <w:sz w:val="24"/>
          <w:szCs w:val="24"/>
        </w:rPr>
        <w:t xml:space="preserve"> 000,- plus </w:t>
      </w:r>
      <w:r w:rsidR="00900F74" w:rsidRPr="007F0697">
        <w:rPr>
          <w:sz w:val="24"/>
          <w:szCs w:val="24"/>
        </w:rPr>
        <w:t>2</w:t>
      </w:r>
      <w:r w:rsidR="00D92118" w:rsidRPr="007F0697">
        <w:rPr>
          <w:sz w:val="24"/>
          <w:szCs w:val="24"/>
        </w:rPr>
        <w:t>1</w:t>
      </w:r>
      <w:r w:rsidRPr="007F0697">
        <w:rPr>
          <w:sz w:val="24"/>
          <w:szCs w:val="24"/>
        </w:rPr>
        <w:t xml:space="preserve"> % DPH.</w:t>
      </w:r>
      <w:r w:rsidR="00FB0781" w:rsidRPr="007F0697">
        <w:rPr>
          <w:sz w:val="24"/>
          <w:szCs w:val="24"/>
        </w:rPr>
        <w:t xml:space="preserve"> </w:t>
      </w:r>
      <w:r w:rsidR="004444BB" w:rsidRPr="007F0697">
        <w:rPr>
          <w:sz w:val="24"/>
          <w:szCs w:val="24"/>
        </w:rPr>
        <w:t>Tuto částku uhraďte až na základě obdržení faktury z Ekonomického odboru VŠE</w:t>
      </w:r>
      <w:r w:rsidR="00C71F2F" w:rsidRPr="007F0697">
        <w:rPr>
          <w:sz w:val="24"/>
          <w:szCs w:val="24"/>
        </w:rPr>
        <w:t>. Prosíme o dodržení termínu splatnosti uveden</w:t>
      </w:r>
      <w:r w:rsidR="006D1EA9" w:rsidRPr="007F0697">
        <w:rPr>
          <w:sz w:val="24"/>
          <w:szCs w:val="24"/>
        </w:rPr>
        <w:t>ého</w:t>
      </w:r>
      <w:r w:rsidR="00C71F2F" w:rsidRPr="007F0697">
        <w:rPr>
          <w:sz w:val="24"/>
          <w:szCs w:val="24"/>
        </w:rPr>
        <w:t xml:space="preserve"> na faktuře, úhrada by měla být provedena</w:t>
      </w:r>
      <w:r w:rsidR="004444BB" w:rsidRPr="007F0697">
        <w:rPr>
          <w:sz w:val="24"/>
          <w:szCs w:val="24"/>
        </w:rPr>
        <w:t xml:space="preserve"> </w:t>
      </w:r>
      <w:r w:rsidR="004444BB" w:rsidRPr="007F0697">
        <w:rPr>
          <w:b/>
          <w:sz w:val="24"/>
          <w:szCs w:val="24"/>
        </w:rPr>
        <w:t xml:space="preserve">nejpozději do </w:t>
      </w:r>
      <w:r w:rsidR="00C858C4">
        <w:rPr>
          <w:b/>
          <w:sz w:val="24"/>
          <w:szCs w:val="24"/>
        </w:rPr>
        <w:t>1</w:t>
      </w:r>
      <w:r w:rsidR="009C3C48">
        <w:rPr>
          <w:b/>
          <w:sz w:val="24"/>
          <w:szCs w:val="24"/>
        </w:rPr>
        <w:t>5</w:t>
      </w:r>
      <w:r w:rsidR="004444BB" w:rsidRPr="007F0697">
        <w:rPr>
          <w:b/>
          <w:sz w:val="24"/>
          <w:szCs w:val="24"/>
        </w:rPr>
        <w:t>. listopadu 201</w:t>
      </w:r>
      <w:r w:rsidR="00C858C4">
        <w:rPr>
          <w:b/>
          <w:sz w:val="24"/>
          <w:szCs w:val="24"/>
        </w:rPr>
        <w:t>9</w:t>
      </w:r>
      <w:r w:rsidR="00FB0781" w:rsidRPr="007F0697">
        <w:rPr>
          <w:sz w:val="24"/>
          <w:szCs w:val="24"/>
        </w:rPr>
        <w:t>.</w:t>
      </w:r>
    </w:p>
    <w:p w:rsidR="0024734B" w:rsidRPr="007F0697" w:rsidRDefault="0024734B" w:rsidP="007F0697">
      <w:pPr>
        <w:keepNext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F0697">
        <w:rPr>
          <w:sz w:val="24"/>
          <w:szCs w:val="24"/>
        </w:rPr>
        <w:t>Počet míst pro přijetí uchazečů je omezen.</w:t>
      </w:r>
    </w:p>
    <w:p w:rsidR="0024734B" w:rsidRPr="007F0697" w:rsidRDefault="0024734B" w:rsidP="007F0697">
      <w:pPr>
        <w:keepNext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F0697">
        <w:rPr>
          <w:sz w:val="24"/>
          <w:szCs w:val="24"/>
        </w:rPr>
        <w:t xml:space="preserve">Zahájení </w:t>
      </w:r>
      <w:r w:rsidR="006A0F25">
        <w:rPr>
          <w:sz w:val="24"/>
          <w:szCs w:val="24"/>
        </w:rPr>
        <w:t>studia</w:t>
      </w:r>
      <w:r w:rsidRPr="007F0697">
        <w:rPr>
          <w:sz w:val="24"/>
          <w:szCs w:val="24"/>
        </w:rPr>
        <w:t xml:space="preserve"> je plánováno na </w:t>
      </w:r>
      <w:r w:rsidR="00320E0D" w:rsidRPr="007F0697">
        <w:rPr>
          <w:b/>
          <w:sz w:val="24"/>
          <w:szCs w:val="24"/>
        </w:rPr>
        <w:t>2</w:t>
      </w:r>
      <w:r w:rsidR="00C858C4">
        <w:rPr>
          <w:b/>
          <w:sz w:val="24"/>
          <w:szCs w:val="24"/>
        </w:rPr>
        <w:t>2</w:t>
      </w:r>
      <w:r w:rsidR="00FE0B49" w:rsidRPr="007F0697">
        <w:rPr>
          <w:b/>
          <w:sz w:val="24"/>
          <w:szCs w:val="24"/>
        </w:rPr>
        <w:t xml:space="preserve">. </w:t>
      </w:r>
      <w:r w:rsidR="00450790" w:rsidRPr="007F0697">
        <w:rPr>
          <w:b/>
          <w:sz w:val="24"/>
          <w:szCs w:val="24"/>
        </w:rPr>
        <w:t>listopadu</w:t>
      </w:r>
      <w:r w:rsidR="00D92118" w:rsidRPr="007F0697">
        <w:rPr>
          <w:b/>
          <w:sz w:val="24"/>
          <w:szCs w:val="24"/>
        </w:rPr>
        <w:t xml:space="preserve"> 201</w:t>
      </w:r>
      <w:r w:rsidR="00C858C4">
        <w:rPr>
          <w:b/>
          <w:sz w:val="24"/>
          <w:szCs w:val="24"/>
        </w:rPr>
        <w:t>9</w:t>
      </w:r>
      <w:r w:rsidRPr="007F0697">
        <w:rPr>
          <w:sz w:val="24"/>
          <w:szCs w:val="24"/>
        </w:rPr>
        <w:t>.</w:t>
      </w:r>
    </w:p>
    <w:p w:rsidR="0024734B" w:rsidRPr="007F0697" w:rsidRDefault="0024734B" w:rsidP="007F0697">
      <w:pPr>
        <w:keepNext/>
        <w:numPr>
          <w:ilvl w:val="0"/>
          <w:numId w:val="1"/>
        </w:numPr>
        <w:ind w:left="284" w:hanging="284"/>
        <w:rPr>
          <w:sz w:val="24"/>
          <w:szCs w:val="24"/>
        </w:rPr>
      </w:pPr>
      <w:r w:rsidRPr="007F0697">
        <w:rPr>
          <w:sz w:val="24"/>
          <w:szCs w:val="24"/>
        </w:rPr>
        <w:t>Výuku zajišťují pedagogové Vysoké školy ekonomické</w:t>
      </w:r>
      <w:r w:rsidR="00CF2CD0" w:rsidRPr="007F0697">
        <w:rPr>
          <w:sz w:val="24"/>
          <w:szCs w:val="24"/>
        </w:rPr>
        <w:t xml:space="preserve"> v Praze</w:t>
      </w:r>
      <w:r w:rsidRPr="007F0697">
        <w:rPr>
          <w:sz w:val="24"/>
          <w:szCs w:val="24"/>
        </w:rPr>
        <w:t xml:space="preserve"> </w:t>
      </w:r>
      <w:r w:rsidR="00CF2CD0" w:rsidRPr="007F0697">
        <w:rPr>
          <w:sz w:val="24"/>
          <w:szCs w:val="24"/>
        </w:rPr>
        <w:t xml:space="preserve">a jiných vysokých škol, jakož i </w:t>
      </w:r>
      <w:r w:rsidRPr="007F0697">
        <w:rPr>
          <w:sz w:val="24"/>
          <w:szCs w:val="24"/>
        </w:rPr>
        <w:t xml:space="preserve">renomovaní odborníci </w:t>
      </w:r>
      <w:r w:rsidR="00D92118" w:rsidRPr="007F0697">
        <w:rPr>
          <w:sz w:val="24"/>
          <w:szCs w:val="24"/>
        </w:rPr>
        <w:t>z praxe</w:t>
      </w:r>
      <w:r w:rsidRPr="007F0697">
        <w:rPr>
          <w:sz w:val="24"/>
          <w:szCs w:val="24"/>
        </w:rPr>
        <w:t>. V cen</w:t>
      </w:r>
      <w:r w:rsidR="00365BCF" w:rsidRPr="007F0697">
        <w:rPr>
          <w:sz w:val="24"/>
          <w:szCs w:val="24"/>
        </w:rPr>
        <w:t>ě</w:t>
      </w:r>
      <w:r w:rsidRPr="007F0697">
        <w:rPr>
          <w:sz w:val="24"/>
          <w:szCs w:val="24"/>
        </w:rPr>
        <w:t xml:space="preserve"> </w:t>
      </w:r>
      <w:r w:rsidR="006A0F25">
        <w:rPr>
          <w:sz w:val="24"/>
          <w:szCs w:val="24"/>
        </w:rPr>
        <w:t>studia</w:t>
      </w:r>
      <w:r w:rsidRPr="007F0697">
        <w:rPr>
          <w:sz w:val="24"/>
          <w:szCs w:val="24"/>
        </w:rPr>
        <w:t xml:space="preserve"> jsou zahrnuty náklady spojené s pedagogickým procesem</w:t>
      </w:r>
      <w:r w:rsidR="00BB6746" w:rsidRPr="007F0697">
        <w:rPr>
          <w:sz w:val="24"/>
          <w:szCs w:val="24"/>
        </w:rPr>
        <w:t>.</w:t>
      </w:r>
      <w:r w:rsidR="00365BCF" w:rsidRPr="007F0697">
        <w:rPr>
          <w:sz w:val="24"/>
          <w:szCs w:val="24"/>
        </w:rPr>
        <w:t xml:space="preserve"> </w:t>
      </w:r>
      <w:r w:rsidR="00BB6746" w:rsidRPr="007F0697">
        <w:rPr>
          <w:sz w:val="24"/>
          <w:szCs w:val="24"/>
        </w:rPr>
        <w:t>U</w:t>
      </w:r>
      <w:r w:rsidR="00365BCF" w:rsidRPr="007F0697">
        <w:rPr>
          <w:sz w:val="24"/>
          <w:szCs w:val="24"/>
        </w:rPr>
        <w:t xml:space="preserve">bytování ani stravování vložné nepokrývá a ani </w:t>
      </w:r>
      <w:r w:rsidR="00D074F3" w:rsidRPr="007F0697">
        <w:rPr>
          <w:sz w:val="24"/>
          <w:szCs w:val="24"/>
        </w:rPr>
        <w:t xml:space="preserve">je </w:t>
      </w:r>
      <w:r w:rsidR="00365BCF" w:rsidRPr="007F0697">
        <w:rPr>
          <w:sz w:val="24"/>
          <w:szCs w:val="24"/>
        </w:rPr>
        <w:t>IOM nezajišťuje</w:t>
      </w:r>
      <w:r w:rsidR="00E93678" w:rsidRPr="007F0697">
        <w:rPr>
          <w:sz w:val="24"/>
          <w:szCs w:val="24"/>
        </w:rPr>
        <w:t>.</w:t>
      </w:r>
      <w:r w:rsidRPr="007F0697">
        <w:rPr>
          <w:sz w:val="24"/>
          <w:szCs w:val="24"/>
        </w:rPr>
        <w:t xml:space="preserve"> </w:t>
      </w:r>
    </w:p>
    <w:p w:rsidR="007F0697" w:rsidRDefault="007F0697" w:rsidP="007F0697">
      <w:pPr>
        <w:keepNext/>
        <w:rPr>
          <w:sz w:val="24"/>
          <w:szCs w:val="24"/>
        </w:rPr>
      </w:pPr>
    </w:p>
    <w:p w:rsidR="006A32B1" w:rsidRDefault="00387FD6" w:rsidP="007F0697">
      <w:pPr>
        <w:keepNext/>
        <w:rPr>
          <w:sz w:val="24"/>
          <w:szCs w:val="24"/>
        </w:rPr>
      </w:pPr>
      <w:r w:rsidRPr="007F0697">
        <w:rPr>
          <w:sz w:val="24"/>
          <w:szCs w:val="24"/>
        </w:rPr>
        <w:t>K</w:t>
      </w:r>
      <w:r w:rsidR="0024734B" w:rsidRPr="007F0697">
        <w:rPr>
          <w:sz w:val="24"/>
          <w:szCs w:val="24"/>
        </w:rPr>
        <w:t xml:space="preserve">aždý zájemce obdrží písemné vyrozumění o </w:t>
      </w:r>
      <w:r w:rsidR="00B53B11" w:rsidRPr="007F0697">
        <w:rPr>
          <w:sz w:val="24"/>
          <w:szCs w:val="24"/>
        </w:rPr>
        <w:t>přijetí</w:t>
      </w:r>
      <w:r w:rsidR="0024734B" w:rsidRPr="007F0697">
        <w:rPr>
          <w:sz w:val="24"/>
          <w:szCs w:val="24"/>
        </w:rPr>
        <w:t xml:space="preserve">. </w:t>
      </w:r>
    </w:p>
    <w:p w:rsidR="00913704" w:rsidRPr="00962564" w:rsidRDefault="00913704" w:rsidP="007F0697">
      <w:pPr>
        <w:keepNext/>
        <w:rPr>
          <w:sz w:val="24"/>
          <w:szCs w:val="24"/>
        </w:rPr>
      </w:pPr>
      <w:r w:rsidRPr="00962564">
        <w:rPr>
          <w:sz w:val="24"/>
          <w:szCs w:val="24"/>
        </w:rPr>
        <w:t xml:space="preserve">Doporučená literatura, přehled termínů v zimním semestru a návrh termínů </w:t>
      </w:r>
      <w:r w:rsidR="006A32B1">
        <w:rPr>
          <w:sz w:val="24"/>
          <w:szCs w:val="24"/>
        </w:rPr>
        <w:t>na</w:t>
      </w:r>
      <w:r w:rsidRPr="00962564">
        <w:rPr>
          <w:sz w:val="24"/>
          <w:szCs w:val="24"/>
        </w:rPr>
        <w:t> letní semestr budou posluchačům předány na první</w:t>
      </w:r>
      <w:r w:rsidR="00AC7E74" w:rsidRPr="00962564">
        <w:rPr>
          <w:sz w:val="24"/>
          <w:szCs w:val="24"/>
        </w:rPr>
        <w:t>m</w:t>
      </w:r>
      <w:r w:rsidRPr="00962564">
        <w:rPr>
          <w:sz w:val="24"/>
          <w:szCs w:val="24"/>
        </w:rPr>
        <w:t xml:space="preserve"> soustředění. Materiály, které se týkají jednotlivých předmětů a přednášející </w:t>
      </w:r>
      <w:r w:rsidR="000101B3" w:rsidRPr="00962564">
        <w:rPr>
          <w:sz w:val="24"/>
          <w:szCs w:val="24"/>
        </w:rPr>
        <w:t>si přejí, aby je posluchači obdrželi</w:t>
      </w:r>
      <w:r w:rsidRPr="00962564">
        <w:rPr>
          <w:sz w:val="24"/>
          <w:szCs w:val="24"/>
        </w:rPr>
        <w:t xml:space="preserve"> v listinné podobě, budou k dispozici vždy před příslušnou přednáškou. </w:t>
      </w:r>
      <w:r w:rsidR="006D3ECF" w:rsidRPr="00CB0501">
        <w:rPr>
          <w:sz w:val="24"/>
          <w:szCs w:val="24"/>
        </w:rPr>
        <w:t>Předměty, které jsou dostatečně pokryty literaturou, je třeba nastudovat z této literatury</w:t>
      </w:r>
      <w:r w:rsidR="000101B3" w:rsidRPr="00CB0501">
        <w:rPr>
          <w:sz w:val="24"/>
          <w:szCs w:val="24"/>
        </w:rPr>
        <w:t>.</w:t>
      </w:r>
    </w:p>
    <w:p w:rsidR="007F0697" w:rsidRPr="004861C7" w:rsidRDefault="007F0697">
      <w:pPr>
        <w:tabs>
          <w:tab w:val="center" w:pos="7797"/>
        </w:tabs>
        <w:spacing w:after="0"/>
        <w:rPr>
          <w:color w:val="385623"/>
          <w:sz w:val="24"/>
          <w:szCs w:val="24"/>
        </w:rPr>
      </w:pPr>
    </w:p>
    <w:p w:rsidR="007F0697" w:rsidRDefault="007F0697">
      <w:pPr>
        <w:tabs>
          <w:tab w:val="center" w:pos="7797"/>
        </w:tabs>
        <w:spacing w:after="0"/>
        <w:rPr>
          <w:sz w:val="24"/>
          <w:szCs w:val="24"/>
        </w:rPr>
      </w:pPr>
    </w:p>
    <w:p w:rsidR="0024734B" w:rsidRPr="007F0697" w:rsidRDefault="0024734B">
      <w:pPr>
        <w:tabs>
          <w:tab w:val="center" w:pos="7797"/>
        </w:tabs>
        <w:spacing w:after="0"/>
        <w:rPr>
          <w:sz w:val="24"/>
          <w:szCs w:val="24"/>
        </w:rPr>
      </w:pPr>
      <w:r w:rsidRPr="007F0697">
        <w:rPr>
          <w:sz w:val="24"/>
          <w:szCs w:val="24"/>
        </w:rPr>
        <w:t xml:space="preserve">V Praze </w:t>
      </w:r>
      <w:r w:rsidR="00ED36F9" w:rsidRPr="007F0697">
        <w:rPr>
          <w:sz w:val="24"/>
          <w:szCs w:val="24"/>
        </w:rPr>
        <w:t xml:space="preserve">dne </w:t>
      </w:r>
      <w:r w:rsidR="00FF5C3E">
        <w:rPr>
          <w:sz w:val="24"/>
          <w:szCs w:val="24"/>
        </w:rPr>
        <w:t>9</w:t>
      </w:r>
      <w:r w:rsidR="004B4949" w:rsidRPr="007F0697">
        <w:rPr>
          <w:sz w:val="24"/>
          <w:szCs w:val="24"/>
        </w:rPr>
        <w:t xml:space="preserve">. </w:t>
      </w:r>
      <w:r w:rsidR="00FF5C3E">
        <w:rPr>
          <w:sz w:val="24"/>
          <w:szCs w:val="24"/>
        </w:rPr>
        <w:t>července</w:t>
      </w:r>
      <w:r w:rsidR="004B4949" w:rsidRPr="007F0697">
        <w:rPr>
          <w:sz w:val="24"/>
          <w:szCs w:val="24"/>
        </w:rPr>
        <w:t xml:space="preserve"> 201</w:t>
      </w:r>
      <w:r w:rsidR="00C858C4">
        <w:rPr>
          <w:sz w:val="24"/>
          <w:szCs w:val="24"/>
        </w:rPr>
        <w:t>9</w:t>
      </w:r>
      <w:r w:rsidRPr="007F0697">
        <w:rPr>
          <w:sz w:val="24"/>
          <w:szCs w:val="24"/>
        </w:rPr>
        <w:tab/>
        <w:t>prof. Ing. Miloš Mařík</w:t>
      </w:r>
      <w:r w:rsidRPr="007F0697">
        <w:rPr>
          <w:sz w:val="24"/>
          <w:szCs w:val="24"/>
        </w:rPr>
        <w:br/>
      </w:r>
      <w:r w:rsidRPr="007F0697">
        <w:rPr>
          <w:sz w:val="24"/>
          <w:szCs w:val="24"/>
        </w:rPr>
        <w:tab/>
        <w:t>ředitel IOM</w:t>
      </w:r>
    </w:p>
    <w:p w:rsidR="0024734B" w:rsidRDefault="00182665">
      <w:pPr>
        <w:spacing w:after="0"/>
        <w:jc w:val="center"/>
        <w:rPr>
          <w:sz w:val="28"/>
        </w:rPr>
      </w:pPr>
      <w:r>
        <w:t xml:space="preserve"> </w:t>
      </w:r>
      <w:r w:rsidR="0024734B">
        <w:br w:type="page"/>
      </w:r>
      <w:r w:rsidR="0024734B">
        <w:rPr>
          <w:sz w:val="28"/>
        </w:rPr>
        <w:lastRenderedPageBreak/>
        <w:t>Institut oceňování majetku VŠE v Praze</w:t>
      </w:r>
    </w:p>
    <w:p w:rsidR="0024734B" w:rsidRDefault="004A7D37">
      <w:pPr>
        <w:spacing w:before="120" w:after="0"/>
        <w:jc w:val="center"/>
        <w:rPr>
          <w:b/>
          <w:sz w:val="36"/>
        </w:rPr>
      </w:pPr>
      <w:r>
        <w:rPr>
          <w:b/>
          <w:sz w:val="36"/>
        </w:rPr>
        <w:t>Seznam předmětů</w:t>
      </w:r>
      <w:r w:rsidR="0024734B">
        <w:rPr>
          <w:b/>
          <w:sz w:val="36"/>
        </w:rPr>
        <w:t xml:space="preserve"> specializačního </w:t>
      </w:r>
      <w:r w:rsidR="006A32B1">
        <w:rPr>
          <w:b/>
          <w:sz w:val="36"/>
        </w:rPr>
        <w:t>studia</w:t>
      </w:r>
    </w:p>
    <w:p w:rsidR="0024734B" w:rsidRDefault="0024734B">
      <w:pPr>
        <w:jc w:val="center"/>
        <w:rPr>
          <w:b/>
          <w:sz w:val="36"/>
        </w:rPr>
      </w:pPr>
      <w:r>
        <w:rPr>
          <w:b/>
          <w:sz w:val="36"/>
        </w:rPr>
        <w:t xml:space="preserve">Oceňování </w:t>
      </w:r>
      <w:r w:rsidRPr="000C62F4">
        <w:rPr>
          <w:b/>
          <w:sz w:val="36"/>
        </w:rPr>
        <w:t>nemovit</w:t>
      </w:r>
      <w:r w:rsidR="00AA011B" w:rsidRPr="000C62F4">
        <w:rPr>
          <w:b/>
          <w:sz w:val="36"/>
        </w:rPr>
        <w:t>ých věcí</w:t>
      </w:r>
    </w:p>
    <w:p w:rsidR="0024734B" w:rsidRDefault="0024734B">
      <w:pPr>
        <w:spacing w:after="0"/>
        <w:jc w:val="center"/>
        <w:rPr>
          <w:sz w:val="24"/>
        </w:rPr>
      </w:pPr>
      <w:r>
        <w:rPr>
          <w:sz w:val="24"/>
        </w:rPr>
        <w:t>Plán může být dále upravován podle aktuálních potřeb.</w:t>
      </w:r>
    </w:p>
    <w:p w:rsidR="0024734B" w:rsidRDefault="0024734B">
      <w:pPr>
        <w:spacing w:after="0"/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920"/>
      </w:tblGrid>
      <w:tr w:rsidR="007C48A4" w:rsidRPr="00571752" w:rsidTr="00666016">
        <w:trPr>
          <w:trHeight w:val="255"/>
          <w:jc w:val="center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E0E0E0"/>
          </w:tcPr>
          <w:p w:rsidR="007C48A4" w:rsidRPr="00571752" w:rsidRDefault="007C48A4" w:rsidP="00C12704">
            <w:pPr>
              <w:tabs>
                <w:tab w:val="left" w:pos="3261"/>
                <w:tab w:val="right" w:pos="6663"/>
              </w:tabs>
              <w:spacing w:before="60" w:after="60"/>
              <w:rPr>
                <w:b/>
                <w:bCs/>
                <w:sz w:val="24"/>
                <w:szCs w:val="24"/>
              </w:rPr>
            </w:pPr>
            <w:r w:rsidRPr="00571752">
              <w:rPr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5920" w:type="dxa"/>
            <w:tcBorders>
              <w:top w:val="single" w:sz="4" w:space="0" w:color="auto"/>
            </w:tcBorders>
            <w:shd w:val="clear" w:color="auto" w:fill="E0E0E0"/>
            <w:noWrap/>
          </w:tcPr>
          <w:p w:rsidR="007C48A4" w:rsidRPr="00571752" w:rsidRDefault="007C48A4" w:rsidP="00C12704">
            <w:pPr>
              <w:tabs>
                <w:tab w:val="left" w:pos="3261"/>
                <w:tab w:val="right" w:pos="6663"/>
              </w:tabs>
              <w:spacing w:before="60" w:after="60"/>
              <w:rPr>
                <w:b/>
                <w:bCs/>
                <w:sz w:val="24"/>
                <w:szCs w:val="24"/>
              </w:rPr>
            </w:pPr>
            <w:r w:rsidRPr="00571752">
              <w:rPr>
                <w:b/>
                <w:bCs/>
                <w:sz w:val="24"/>
                <w:szCs w:val="24"/>
              </w:rPr>
              <w:t>Předmět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571752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571752">
              <w:rPr>
                <w:sz w:val="24"/>
                <w:szCs w:val="24"/>
              </w:rPr>
              <w:t>1.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Čtení stavebních výkresů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571752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571752">
              <w:rPr>
                <w:sz w:val="24"/>
                <w:szCs w:val="24"/>
              </w:rPr>
              <w:t>2.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Staviva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365BCF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175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Technická hodnocení staveb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365BCF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7175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Pozemní stavby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365BCF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175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Technická zařízení staveb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365BCF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Znalecká činnost v českém právním řádu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DA621B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7175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Katastr nemovitostí a občanské právo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DA621B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7175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Stavební právo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DA621B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7175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Kalkulace cen staveb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DA621B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Statistika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DA621B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5717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7175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Oceňování nemovitostí podle cenových předpisů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DA621B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5717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7175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Cvičení z oceňování nemovitostí podle cenových předpisů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DA621B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5717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7175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noWrap/>
          </w:tcPr>
          <w:p w:rsidR="007C48A4" w:rsidRPr="00397FBD" w:rsidRDefault="007C48A4" w:rsidP="00AC7E74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 xml:space="preserve">Tržní oceňování nemovitostí 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DA621B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5717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7175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Cvičení z tržního oceňování nemovitostí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571752" w:rsidRDefault="007C48A4" w:rsidP="00DA621B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5717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71752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Trh s nemovitostmi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Pr="00EA5B69" w:rsidRDefault="007C48A4" w:rsidP="00DA621B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 w:rsidRPr="00EA5B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Oceňování nemovitostí pro bankovnictví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Default="007C48A4" w:rsidP="00DA621B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Komerční nemovitosti</w:t>
            </w:r>
          </w:p>
        </w:tc>
      </w:tr>
      <w:tr w:rsidR="007C48A4" w:rsidRPr="00571752" w:rsidTr="00DA621B">
        <w:trPr>
          <w:trHeight w:val="255"/>
          <w:jc w:val="center"/>
        </w:trPr>
        <w:tc>
          <w:tcPr>
            <w:tcW w:w="516" w:type="dxa"/>
          </w:tcPr>
          <w:p w:rsidR="007C48A4" w:rsidRDefault="007C48A4" w:rsidP="0066378C">
            <w:pPr>
              <w:tabs>
                <w:tab w:val="left" w:pos="3261"/>
                <w:tab w:val="right" w:pos="6663"/>
              </w:tabs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920" w:type="dxa"/>
            <w:noWrap/>
          </w:tcPr>
          <w:p w:rsidR="007C48A4" w:rsidRPr="00397FBD" w:rsidRDefault="007C48A4" w:rsidP="00397FBD">
            <w:pPr>
              <w:tabs>
                <w:tab w:val="left" w:pos="3261"/>
                <w:tab w:val="right" w:pos="6663"/>
              </w:tabs>
              <w:spacing w:before="60" w:after="60"/>
              <w:rPr>
                <w:sz w:val="24"/>
                <w:szCs w:val="24"/>
              </w:rPr>
            </w:pPr>
            <w:r w:rsidRPr="00397FBD">
              <w:rPr>
                <w:sz w:val="24"/>
                <w:szCs w:val="24"/>
              </w:rPr>
              <w:t>Případov</w:t>
            </w:r>
            <w:r>
              <w:rPr>
                <w:sz w:val="24"/>
                <w:szCs w:val="24"/>
              </w:rPr>
              <w:t>é</w:t>
            </w:r>
            <w:r w:rsidRPr="00397FBD">
              <w:rPr>
                <w:sz w:val="24"/>
                <w:szCs w:val="24"/>
              </w:rPr>
              <w:t xml:space="preserve"> studie</w:t>
            </w:r>
          </w:p>
        </w:tc>
      </w:tr>
    </w:tbl>
    <w:p w:rsidR="000B28CD" w:rsidRDefault="000B28CD" w:rsidP="000B28CD">
      <w:pPr>
        <w:tabs>
          <w:tab w:val="left" w:pos="3261"/>
          <w:tab w:val="right" w:pos="6663"/>
        </w:tabs>
        <w:spacing w:after="0"/>
      </w:pPr>
    </w:p>
    <w:p w:rsidR="000B28CD" w:rsidRDefault="000B28CD" w:rsidP="000B28CD">
      <w:pPr>
        <w:tabs>
          <w:tab w:val="left" w:pos="3261"/>
          <w:tab w:val="right" w:pos="6663"/>
        </w:tabs>
        <w:spacing w:after="0"/>
      </w:pPr>
    </w:p>
    <w:p w:rsidR="00DD4B8E" w:rsidRDefault="00DD4B8E" w:rsidP="000B28CD"/>
    <w:p w:rsidR="00DD4B8E" w:rsidRDefault="00DD4B8E" w:rsidP="000B28CD"/>
    <w:p w:rsidR="000B28CD" w:rsidRDefault="00221EF8" w:rsidP="000B28CD">
      <w:r>
        <w:t xml:space="preserve">Čtyřsemestrální </w:t>
      </w:r>
      <w:r w:rsidR="006A0F25">
        <w:t>studium</w:t>
      </w:r>
      <w:r w:rsidR="000B28CD">
        <w:t xml:space="preserve"> Oceňování nemovit</w:t>
      </w:r>
      <w:r w:rsidR="00DD6FF6">
        <w:t>ých věcí</w:t>
      </w:r>
      <w:r w:rsidR="000B28CD">
        <w:t xml:space="preserve"> je rozložen</w:t>
      </w:r>
      <w:r w:rsidR="006A0F25">
        <w:t>o</w:t>
      </w:r>
      <w:r w:rsidR="000B28CD">
        <w:t xml:space="preserve"> do </w:t>
      </w:r>
      <w:r w:rsidR="004E062C">
        <w:t>dvoudenních</w:t>
      </w:r>
      <w:r w:rsidR="006A3DC7">
        <w:t xml:space="preserve"> </w:t>
      </w:r>
      <w:r w:rsidR="000B28CD">
        <w:t>soustředění</w:t>
      </w:r>
      <w:r>
        <w:t xml:space="preserve">, frekvence je </w:t>
      </w:r>
      <w:r w:rsidR="006125DB">
        <w:t xml:space="preserve">dvakrát nebo jednou </w:t>
      </w:r>
      <w:r>
        <w:t>měsíčně.</w:t>
      </w:r>
    </w:p>
    <w:p w:rsidR="005A7312" w:rsidRDefault="005A7312" w:rsidP="000B28CD">
      <w:pPr>
        <w:tabs>
          <w:tab w:val="center" w:pos="7797"/>
        </w:tabs>
        <w:spacing w:after="0"/>
      </w:pPr>
    </w:p>
    <w:p w:rsidR="0024734B" w:rsidRDefault="0024734B">
      <w:pPr>
        <w:tabs>
          <w:tab w:val="left" w:pos="3261"/>
          <w:tab w:val="right" w:pos="6663"/>
        </w:tabs>
        <w:spacing w:after="0"/>
      </w:pPr>
    </w:p>
    <w:p w:rsidR="0024734B" w:rsidRDefault="0024734B">
      <w:pPr>
        <w:tabs>
          <w:tab w:val="center" w:pos="7797"/>
        </w:tabs>
        <w:spacing w:after="0"/>
        <w:sectPr w:rsidR="0024734B">
          <w:footerReference w:type="default" r:id="rId7"/>
          <w:pgSz w:w="11907" w:h="16840"/>
          <w:pgMar w:top="454" w:right="851" w:bottom="284" w:left="851" w:header="709" w:footer="709" w:gutter="0"/>
          <w:cols w:space="708"/>
        </w:sectPr>
      </w:pPr>
    </w:p>
    <w:p w:rsidR="0024734B" w:rsidRDefault="0024734B" w:rsidP="001271D3">
      <w:pPr>
        <w:spacing w:after="80"/>
        <w:jc w:val="center"/>
        <w:rPr>
          <w:b/>
          <w:sz w:val="28"/>
        </w:rPr>
      </w:pPr>
      <w:r>
        <w:rPr>
          <w:b/>
          <w:sz w:val="28"/>
        </w:rPr>
        <w:lastRenderedPageBreak/>
        <w:t>VŠE v Praze - Institut oceňování majetku</w:t>
      </w:r>
    </w:p>
    <w:p w:rsidR="0024734B" w:rsidRDefault="0024734B">
      <w:pPr>
        <w:spacing w:after="0"/>
        <w:jc w:val="center"/>
        <w:rPr>
          <w:b/>
        </w:rPr>
      </w:pPr>
      <w:r>
        <w:rPr>
          <w:b/>
          <w:smallCaps/>
          <w:sz w:val="28"/>
        </w:rPr>
        <w:t xml:space="preserve">Přihláška ke specializačnímu </w:t>
      </w:r>
      <w:r w:rsidR="006A32B1" w:rsidRPr="006A32B1">
        <w:rPr>
          <w:b/>
          <w:smallCaps/>
          <w:szCs w:val="22"/>
        </w:rPr>
        <w:t>STUDIU</w:t>
      </w:r>
      <w:r>
        <w:rPr>
          <w:b/>
          <w:smallCaps/>
          <w:sz w:val="28"/>
        </w:rPr>
        <w:t xml:space="preserve"> - zašlete nejpozději </w:t>
      </w:r>
      <w:r w:rsidRPr="0024734B">
        <w:rPr>
          <w:b/>
          <w:smallCaps/>
          <w:sz w:val="28"/>
        </w:rPr>
        <w:t xml:space="preserve">do </w:t>
      </w:r>
      <w:r w:rsidR="009C3C48">
        <w:rPr>
          <w:b/>
          <w:smallCaps/>
          <w:sz w:val="28"/>
        </w:rPr>
        <w:t>30</w:t>
      </w:r>
      <w:bookmarkStart w:id="1" w:name="_GoBack"/>
      <w:bookmarkEnd w:id="1"/>
      <w:r w:rsidR="00DD4B8E">
        <w:rPr>
          <w:b/>
          <w:smallCaps/>
          <w:sz w:val="28"/>
        </w:rPr>
        <w:t>.</w:t>
      </w:r>
      <w:r w:rsidR="00AA011B">
        <w:rPr>
          <w:b/>
          <w:smallCaps/>
          <w:sz w:val="28"/>
        </w:rPr>
        <w:t xml:space="preserve"> </w:t>
      </w:r>
      <w:r w:rsidR="00DD4B8E">
        <w:rPr>
          <w:b/>
          <w:smallCaps/>
          <w:sz w:val="28"/>
        </w:rPr>
        <w:t>10.</w:t>
      </w:r>
      <w:r w:rsidRPr="00962718">
        <w:rPr>
          <w:b/>
          <w:smallCaps/>
          <w:sz w:val="28"/>
        </w:rPr>
        <w:t xml:space="preserve"> 20</w:t>
      </w:r>
      <w:r w:rsidR="002A4332" w:rsidRPr="00962718">
        <w:rPr>
          <w:b/>
          <w:smallCaps/>
          <w:sz w:val="28"/>
        </w:rPr>
        <w:t>1</w:t>
      </w:r>
      <w:r w:rsidR="00182665">
        <w:rPr>
          <w:b/>
          <w:smallCaps/>
          <w:sz w:val="28"/>
        </w:rPr>
        <w:t>9</w:t>
      </w:r>
      <w:r w:rsidR="003F642A">
        <w:rPr>
          <w:b/>
          <w:smallCaps/>
          <w:sz w:val="28"/>
        </w:rPr>
        <w:t xml:space="preserve"> </w:t>
      </w:r>
      <w:r w:rsidR="002D05A0">
        <w:rPr>
          <w:b/>
          <w:smallCaps/>
          <w:sz w:val="28"/>
        </w:rPr>
        <w:t xml:space="preserve"> </w:t>
      </w:r>
      <w:r w:rsidR="00FC3682">
        <w:rPr>
          <w:b/>
          <w:smallCaps/>
          <w:sz w:val="28"/>
        </w:rPr>
        <w:t xml:space="preserve"> </w:t>
      </w:r>
    </w:p>
    <w:p w:rsidR="0024734B" w:rsidRDefault="0024734B">
      <w:pPr>
        <w:tabs>
          <w:tab w:val="left" w:pos="2268"/>
          <w:tab w:val="center" w:pos="3544"/>
          <w:tab w:val="center" w:pos="5954"/>
        </w:tabs>
        <w:jc w:val="center"/>
      </w:pPr>
      <w:r>
        <w:rPr>
          <w:b/>
          <w:sz w:val="36"/>
        </w:rPr>
        <w:t xml:space="preserve">OCEŇOVÁNÍ </w:t>
      </w:r>
      <w:r w:rsidRPr="00DD2ED7">
        <w:rPr>
          <w:b/>
          <w:sz w:val="36"/>
        </w:rPr>
        <w:t>NEMOVIT</w:t>
      </w:r>
      <w:r w:rsidR="00AA011B" w:rsidRPr="00DD2ED7">
        <w:rPr>
          <w:b/>
          <w:sz w:val="36"/>
        </w:rPr>
        <w:t>ÝCH VĚCÍ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271D3" w:rsidRPr="001271D3" w:rsidTr="00B30F93">
        <w:tc>
          <w:tcPr>
            <w:tcW w:w="10276" w:type="dxa"/>
          </w:tcPr>
          <w:p w:rsidR="001271D3" w:rsidRPr="001271D3" w:rsidRDefault="001271D3" w:rsidP="001271D3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 xml:space="preserve">Příjmení a jméno: </w:t>
            </w:r>
            <w:r w:rsidRPr="001271D3">
              <w:rPr>
                <w:sz w:val="24"/>
                <w:szCs w:val="24"/>
              </w:rPr>
              <w:tab/>
              <w:t>Titul:*</w:t>
            </w:r>
            <w:r w:rsidRPr="001271D3">
              <w:rPr>
                <w:sz w:val="24"/>
                <w:szCs w:val="24"/>
              </w:rPr>
              <w:br/>
              <w:t>Rozená:</w:t>
            </w:r>
            <w:r w:rsidRPr="001271D3">
              <w:rPr>
                <w:sz w:val="24"/>
                <w:szCs w:val="24"/>
              </w:rPr>
              <w:tab/>
              <w:t>Rodné číslo:</w:t>
            </w:r>
          </w:p>
        </w:tc>
      </w:tr>
      <w:tr w:rsidR="001271D3" w:rsidRPr="001271D3" w:rsidTr="00B30F93">
        <w:tc>
          <w:tcPr>
            <w:tcW w:w="10276" w:type="dxa"/>
          </w:tcPr>
          <w:p w:rsidR="001271D3" w:rsidRPr="001271D3" w:rsidRDefault="001271D3" w:rsidP="001271D3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>Datum a místo narození:</w:t>
            </w:r>
            <w:r w:rsidRPr="001271D3">
              <w:rPr>
                <w:sz w:val="24"/>
                <w:szCs w:val="24"/>
              </w:rPr>
              <w:tab/>
            </w:r>
          </w:p>
        </w:tc>
      </w:tr>
      <w:tr w:rsidR="001271D3" w:rsidRPr="001271D3" w:rsidTr="00B30F93">
        <w:tc>
          <w:tcPr>
            <w:tcW w:w="10276" w:type="dxa"/>
          </w:tcPr>
          <w:p w:rsidR="001271D3" w:rsidRPr="001271D3" w:rsidRDefault="001271D3" w:rsidP="001271D3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80" w:lineRule="exact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>Státní občanství:</w:t>
            </w:r>
          </w:p>
        </w:tc>
      </w:tr>
      <w:tr w:rsidR="001271D3" w:rsidRPr="001271D3" w:rsidTr="00B30F93">
        <w:tc>
          <w:tcPr>
            <w:tcW w:w="10276" w:type="dxa"/>
          </w:tcPr>
          <w:p w:rsidR="001271D3" w:rsidRPr="001271D3" w:rsidRDefault="001271D3" w:rsidP="001271D3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 xml:space="preserve">Adresa trvalého bydliště: </w:t>
            </w:r>
            <w:r w:rsidRPr="001271D3">
              <w:rPr>
                <w:sz w:val="24"/>
                <w:szCs w:val="24"/>
              </w:rPr>
              <w:tab/>
              <w:t xml:space="preserve">PSČ: </w:t>
            </w:r>
            <w:r w:rsidRPr="001271D3">
              <w:rPr>
                <w:sz w:val="24"/>
                <w:szCs w:val="24"/>
              </w:rPr>
              <w:br/>
              <w:t>Adresa pro doručování</w:t>
            </w:r>
            <w:r w:rsidRPr="001271D3">
              <w:rPr>
                <w:sz w:val="20"/>
              </w:rPr>
              <w:t xml:space="preserve"> (je-li jiná než adresa trvalého bydliště)</w:t>
            </w:r>
            <w:r w:rsidRPr="001271D3">
              <w:rPr>
                <w:sz w:val="24"/>
                <w:szCs w:val="24"/>
              </w:rPr>
              <w:t>:</w:t>
            </w:r>
            <w:r w:rsidRPr="001271D3">
              <w:rPr>
                <w:sz w:val="24"/>
                <w:szCs w:val="24"/>
              </w:rPr>
              <w:br/>
            </w:r>
            <w:r w:rsidRPr="001271D3">
              <w:rPr>
                <w:sz w:val="24"/>
                <w:szCs w:val="24"/>
              </w:rPr>
              <w:tab/>
              <w:t>PSČ:</w:t>
            </w:r>
            <w:r w:rsidRPr="001271D3">
              <w:rPr>
                <w:sz w:val="24"/>
                <w:szCs w:val="24"/>
              </w:rPr>
              <w:br/>
              <w:t>Telefon:</w:t>
            </w:r>
            <w:r w:rsidRPr="001271D3">
              <w:rPr>
                <w:sz w:val="24"/>
                <w:szCs w:val="24"/>
              </w:rPr>
              <w:tab/>
            </w:r>
          </w:p>
        </w:tc>
      </w:tr>
      <w:tr w:rsidR="001271D3" w:rsidRPr="001271D3" w:rsidTr="00B30F93">
        <w:tc>
          <w:tcPr>
            <w:tcW w:w="10276" w:type="dxa"/>
          </w:tcPr>
          <w:p w:rsidR="001271D3" w:rsidRPr="001271D3" w:rsidRDefault="001271D3" w:rsidP="001271D3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60" w:after="40"/>
              <w:ind w:left="357" w:hanging="357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 xml:space="preserve">E-mail </w:t>
            </w:r>
            <w:r w:rsidRPr="001271D3">
              <w:rPr>
                <w:sz w:val="20"/>
              </w:rPr>
              <w:t>(důležité - vyplňte čitelně, máte-li adres více, uveďte je všechny a zatrhněte, kterou chcete používat jako hlavní):</w:t>
            </w:r>
          </w:p>
          <w:p w:rsidR="001271D3" w:rsidRPr="001271D3" w:rsidRDefault="001271D3" w:rsidP="001271D3">
            <w:pPr>
              <w:tabs>
                <w:tab w:val="left" w:pos="360"/>
                <w:tab w:val="left" w:pos="6804"/>
              </w:tabs>
              <w:spacing w:after="0"/>
              <w:ind w:left="426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271D3" w:rsidRPr="001271D3" w:rsidTr="00B30F93">
        <w:tc>
          <w:tcPr>
            <w:tcW w:w="10276" w:type="dxa"/>
          </w:tcPr>
          <w:p w:rsidR="001271D3" w:rsidRPr="001271D3" w:rsidRDefault="001271D3" w:rsidP="001271D3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>Občanský průkaz č.:*</w:t>
            </w:r>
            <w:r w:rsidRPr="001271D3">
              <w:rPr>
                <w:sz w:val="24"/>
                <w:szCs w:val="24"/>
              </w:rPr>
              <w:br/>
              <w:t>Vydal:</w:t>
            </w:r>
            <w:r w:rsidRPr="001271D3">
              <w:rPr>
                <w:sz w:val="24"/>
                <w:szCs w:val="24"/>
              </w:rPr>
              <w:tab/>
              <w:t>Dne:</w:t>
            </w:r>
          </w:p>
        </w:tc>
      </w:tr>
      <w:tr w:rsidR="001271D3" w:rsidRPr="001271D3" w:rsidTr="00B30F93">
        <w:tc>
          <w:tcPr>
            <w:tcW w:w="10276" w:type="dxa"/>
          </w:tcPr>
          <w:p w:rsidR="001271D3" w:rsidRPr="001271D3" w:rsidRDefault="001271D3" w:rsidP="001271D3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>Vysoká škola ukončená:</w:t>
            </w:r>
            <w:r w:rsidRPr="001271D3">
              <w:rPr>
                <w:sz w:val="24"/>
                <w:szCs w:val="24"/>
              </w:rPr>
              <w:br/>
              <w:t>Fakulta:</w:t>
            </w:r>
            <w:r w:rsidRPr="001271D3">
              <w:rPr>
                <w:sz w:val="24"/>
                <w:szCs w:val="24"/>
              </w:rPr>
              <w:tab/>
              <w:t>Obor studia:</w:t>
            </w:r>
            <w:r w:rsidRPr="001271D3">
              <w:rPr>
                <w:sz w:val="24"/>
                <w:szCs w:val="24"/>
              </w:rPr>
              <w:br/>
              <w:t>Datum ukončení studia:</w:t>
            </w:r>
          </w:p>
        </w:tc>
      </w:tr>
      <w:tr w:rsidR="001271D3" w:rsidRPr="001271D3" w:rsidTr="00B30F93">
        <w:tc>
          <w:tcPr>
            <w:tcW w:w="10276" w:type="dxa"/>
          </w:tcPr>
          <w:p w:rsidR="001271D3" w:rsidRPr="001271D3" w:rsidRDefault="001271D3" w:rsidP="001271D3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>Jiné ukončené studium, zejména zaměřené na oceňování, případně na účetnictví:</w:t>
            </w:r>
            <w:r w:rsidRPr="001271D3">
              <w:rPr>
                <w:sz w:val="24"/>
                <w:szCs w:val="24"/>
              </w:rPr>
              <w:br/>
            </w:r>
            <w:r w:rsidRPr="001271D3">
              <w:rPr>
                <w:sz w:val="24"/>
                <w:szCs w:val="24"/>
              </w:rPr>
              <w:br/>
              <w:t>Znalec v oboru:</w:t>
            </w:r>
          </w:p>
        </w:tc>
      </w:tr>
      <w:tr w:rsidR="001271D3" w:rsidRPr="001271D3" w:rsidTr="00B30F93">
        <w:tc>
          <w:tcPr>
            <w:tcW w:w="10276" w:type="dxa"/>
          </w:tcPr>
          <w:p w:rsidR="001271D3" w:rsidRPr="001271D3" w:rsidRDefault="001271D3" w:rsidP="001271D3">
            <w:pPr>
              <w:numPr>
                <w:ilvl w:val="0"/>
                <w:numId w:val="3"/>
              </w:numPr>
              <w:tabs>
                <w:tab w:val="left" w:pos="360"/>
                <w:tab w:val="left" w:pos="6804"/>
              </w:tabs>
              <w:spacing w:before="20" w:after="20" w:line="360" w:lineRule="exact"/>
              <w:ind w:left="357" w:hanging="357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>Údaje o plátci pro vystavení daňového dokladu:</w:t>
            </w:r>
          </w:p>
          <w:p w:rsidR="001271D3" w:rsidRPr="001271D3" w:rsidRDefault="001271D3" w:rsidP="001271D3">
            <w:pPr>
              <w:tabs>
                <w:tab w:val="left" w:pos="360"/>
                <w:tab w:val="left" w:pos="6804"/>
              </w:tabs>
              <w:spacing w:before="20" w:after="20" w:line="360" w:lineRule="exact"/>
              <w:ind w:left="357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>Název firmy:</w:t>
            </w:r>
          </w:p>
          <w:p w:rsidR="001271D3" w:rsidRPr="001271D3" w:rsidRDefault="001271D3" w:rsidP="001271D3">
            <w:pPr>
              <w:tabs>
                <w:tab w:val="left" w:pos="360"/>
                <w:tab w:val="left" w:pos="6804"/>
              </w:tabs>
              <w:spacing w:before="20" w:after="20" w:line="360" w:lineRule="exact"/>
              <w:ind w:left="357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>Adresa včetně PSČ:</w:t>
            </w:r>
          </w:p>
          <w:p w:rsidR="001271D3" w:rsidRPr="001271D3" w:rsidRDefault="001271D3" w:rsidP="001271D3">
            <w:pPr>
              <w:tabs>
                <w:tab w:val="left" w:pos="360"/>
                <w:tab w:val="left" w:pos="6804"/>
              </w:tabs>
              <w:spacing w:before="20" w:after="20" w:line="380" w:lineRule="exact"/>
              <w:ind w:left="357"/>
              <w:jc w:val="left"/>
              <w:rPr>
                <w:sz w:val="24"/>
                <w:szCs w:val="24"/>
              </w:rPr>
            </w:pPr>
            <w:r w:rsidRPr="001271D3">
              <w:rPr>
                <w:sz w:val="24"/>
                <w:szCs w:val="24"/>
              </w:rPr>
              <w:t>IČ:</w:t>
            </w:r>
            <w:r w:rsidRPr="001271D3">
              <w:rPr>
                <w:sz w:val="24"/>
                <w:szCs w:val="24"/>
              </w:rPr>
              <w:tab/>
              <w:t>DIČ:</w:t>
            </w:r>
          </w:p>
        </w:tc>
      </w:tr>
    </w:tbl>
    <w:p w:rsidR="001271D3" w:rsidRPr="001271D3" w:rsidRDefault="001271D3" w:rsidP="001271D3">
      <w:pPr>
        <w:tabs>
          <w:tab w:val="left" w:pos="2127"/>
        </w:tabs>
        <w:spacing w:after="0"/>
        <w:jc w:val="left"/>
        <w:rPr>
          <w:i/>
        </w:rPr>
      </w:pPr>
      <w:r w:rsidRPr="001271D3">
        <w:rPr>
          <w:i/>
        </w:rPr>
        <w:t xml:space="preserve">* nepovinný údaj </w:t>
      </w:r>
    </w:p>
    <w:p w:rsidR="001271D3" w:rsidRPr="001271D3" w:rsidRDefault="001271D3" w:rsidP="001271D3">
      <w:pPr>
        <w:spacing w:after="0"/>
        <w:jc w:val="center"/>
        <w:rPr>
          <w:b/>
        </w:rPr>
      </w:pPr>
      <w:r w:rsidRPr="001271D3">
        <w:rPr>
          <w:b/>
        </w:rPr>
        <w:t>Prohlášení</w:t>
      </w:r>
    </w:p>
    <w:p w:rsidR="001271D3" w:rsidRPr="001271D3" w:rsidRDefault="001271D3" w:rsidP="001271D3">
      <w:pPr>
        <w:spacing w:after="60"/>
        <w:rPr>
          <w:sz w:val="20"/>
        </w:rPr>
      </w:pPr>
      <w:r w:rsidRPr="001271D3">
        <w:rPr>
          <w:sz w:val="20"/>
        </w:rPr>
        <w:t xml:space="preserve">Prohlašuji, že všechny údaje jsou pravdivé a že jsem nezamlčel(a) závažné skutečnosti. </w:t>
      </w:r>
    </w:p>
    <w:p w:rsidR="001271D3" w:rsidRPr="001271D3" w:rsidRDefault="001271D3" w:rsidP="001271D3">
      <w:pPr>
        <w:spacing w:after="0"/>
        <w:rPr>
          <w:sz w:val="20"/>
        </w:rPr>
      </w:pPr>
      <w:r w:rsidRPr="001271D3">
        <w:rPr>
          <w:sz w:val="20"/>
        </w:rPr>
        <w:t xml:space="preserve">Současně beru na vědomí, že absolvování specializačního studia nezakládá právní nárok na jmenování znalcem ani jiné nároky a že IOM VŠE nenese odpovědnost za případné důsledky možných změn právních předpisů upravujících činnost znalců a odhadců. </w:t>
      </w:r>
      <w:bookmarkStart w:id="2" w:name="OLE_LINK2"/>
      <w:r w:rsidRPr="001271D3">
        <w:rPr>
          <w:sz w:val="20"/>
        </w:rPr>
        <w:t>Dále beru na vědomí, že v</w:t>
      </w:r>
      <w:bookmarkEnd w:id="2"/>
      <w:r w:rsidRPr="001271D3">
        <w:rPr>
          <w:sz w:val="20"/>
        </w:rPr>
        <w:t xml:space="preserve"> případě nedokončení studia z jakéhokoliv důvodu se vložné nevrací. Souhlasím s tím, že součástí výuky není poskytnutí jednoznačných návodů k ocenění a že studium je založeno na vysokoškolském způsobu výuky, který vyžaduje významnou míru samostudia.</w:t>
      </w:r>
    </w:p>
    <w:p w:rsidR="001271D3" w:rsidRPr="001271D3" w:rsidRDefault="001271D3" w:rsidP="001271D3">
      <w:pPr>
        <w:spacing w:after="240"/>
        <w:rPr>
          <w:sz w:val="20"/>
        </w:rPr>
      </w:pPr>
    </w:p>
    <w:p w:rsidR="001271D3" w:rsidRPr="001271D3" w:rsidRDefault="001271D3" w:rsidP="001271D3">
      <w:pPr>
        <w:spacing w:before="240"/>
        <w:rPr>
          <w:sz w:val="20"/>
        </w:rPr>
      </w:pPr>
      <w:r w:rsidRPr="001271D3">
        <w:rPr>
          <w:sz w:val="20"/>
        </w:rPr>
        <w:t>V ......................................   dne .................................      Podpis uchazeče ..............................................................</w:t>
      </w:r>
    </w:p>
    <w:p w:rsidR="001271D3" w:rsidRPr="001271D3" w:rsidRDefault="001271D3" w:rsidP="001271D3">
      <w:pPr>
        <w:spacing w:before="240" w:after="0"/>
        <w:jc w:val="center"/>
        <w:rPr>
          <w:b/>
        </w:rPr>
      </w:pPr>
      <w:r w:rsidRPr="001271D3">
        <w:rPr>
          <w:b/>
        </w:rPr>
        <w:t>Ochrana osobních údajů</w:t>
      </w:r>
    </w:p>
    <w:p w:rsidR="001271D3" w:rsidRPr="001271D3" w:rsidRDefault="001271D3" w:rsidP="001271D3">
      <w:pPr>
        <w:spacing w:after="0"/>
        <w:rPr>
          <w:sz w:val="20"/>
        </w:rPr>
      </w:pPr>
      <w:r w:rsidRPr="001271D3">
        <w:rPr>
          <w:sz w:val="20"/>
        </w:rPr>
        <w:t xml:space="preserve">Beru na vědomí, že tyto údaje (zpracovávané v souladu s ochranou osobních údajů – směrnice VŠE 05/2018) budou v rámci Vysoké školy ekonomické v Praze používány pro účely zajištění mého studia Oceňování nemovitých věcí. </w:t>
      </w:r>
    </w:p>
    <w:p w:rsidR="001271D3" w:rsidRPr="001271D3" w:rsidRDefault="001271D3" w:rsidP="001271D3">
      <w:pPr>
        <w:spacing w:after="0"/>
        <w:rPr>
          <w:sz w:val="20"/>
        </w:rPr>
      </w:pPr>
      <w:r w:rsidRPr="001271D3">
        <w:rPr>
          <w:sz w:val="20"/>
        </w:rPr>
        <w:t>Souhlasím s tím, že tyto údaje budou využity pro nabídky akcí pořádaných Institutem oceňování majetku. Souhlas může být v souladu čl. 28 nařízení Evropského parlamentu a rady (EU) 2016/679 o ochraně fyzických osob v souvislosti se zpracováním osobních údajů a o volném pohybu těchto údajů a o zrušení směrnice 95/46/ES (obecné nařízení o ochraně osobních údajů) kdykoliv odvolán, a to písemně na adresu Institutu oceňování majetku Vysoké školy ekonomické v Praze.</w:t>
      </w:r>
    </w:p>
    <w:p w:rsidR="001271D3" w:rsidRPr="001271D3" w:rsidRDefault="001271D3" w:rsidP="001271D3">
      <w:pPr>
        <w:spacing w:after="0"/>
        <w:rPr>
          <w:sz w:val="20"/>
        </w:rPr>
      </w:pPr>
    </w:p>
    <w:p w:rsidR="00C02EEE" w:rsidRPr="00B4685C" w:rsidRDefault="001271D3" w:rsidP="00041288">
      <w:pPr>
        <w:spacing w:before="240"/>
      </w:pPr>
      <w:r w:rsidRPr="001271D3">
        <w:rPr>
          <w:sz w:val="20"/>
        </w:rPr>
        <w:t>V ......................................   dne .................................      Podpis uchazeče ..............................................................</w:t>
      </w:r>
    </w:p>
    <w:sectPr w:rsidR="00C02EEE" w:rsidRPr="00B4685C" w:rsidSect="00726F09">
      <w:footerReference w:type="default" r:id="rId8"/>
      <w:pgSz w:w="11907" w:h="16840"/>
      <w:pgMar w:top="454" w:right="708" w:bottom="454" w:left="964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E7" w:rsidRDefault="00456EE7">
      <w:r>
        <w:separator/>
      </w:r>
    </w:p>
  </w:endnote>
  <w:endnote w:type="continuationSeparator" w:id="0">
    <w:p w:rsidR="00456EE7" w:rsidRDefault="0045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EEE" w:rsidRDefault="00C02EE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1D3">
      <w:rPr>
        <w:noProof/>
      </w:rPr>
      <w:t>3</w:t>
    </w:r>
    <w:r>
      <w:fldChar w:fldCharType="end"/>
    </w:r>
  </w:p>
  <w:p w:rsidR="00C02EEE" w:rsidRDefault="00C02E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8F4" w:rsidRDefault="00AF78F4" w:rsidP="001271D3">
    <w:pPr>
      <w:pStyle w:val="Zpat"/>
      <w:pBdr>
        <w:bottom w:val="single" w:sz="12" w:space="1" w:color="auto"/>
      </w:pBdr>
      <w:tabs>
        <w:tab w:val="left" w:pos="6663"/>
      </w:tabs>
      <w:spacing w:after="0" w:line="160" w:lineRule="exact"/>
    </w:pPr>
  </w:p>
  <w:p w:rsidR="00AF78F4" w:rsidRDefault="00AF78F4" w:rsidP="001271D3">
    <w:pPr>
      <w:pStyle w:val="Zpat"/>
      <w:tabs>
        <w:tab w:val="clear" w:pos="4536"/>
        <w:tab w:val="clear" w:pos="9072"/>
        <w:tab w:val="left" w:pos="426"/>
        <w:tab w:val="left" w:pos="3686"/>
        <w:tab w:val="left" w:pos="4111"/>
        <w:tab w:val="left" w:pos="7655"/>
        <w:tab w:val="left" w:pos="8080"/>
      </w:tabs>
      <w:spacing w:before="120" w:after="0"/>
    </w:pPr>
    <w:r>
      <w:sym w:font="Wingdings" w:char="F02A"/>
    </w:r>
    <w:r>
      <w:tab/>
      <w:t xml:space="preserve">nám. W. Churchilla 4 </w:t>
    </w:r>
    <w:r>
      <w:tab/>
    </w:r>
    <w:r>
      <w:sym w:font="Wingdings" w:char="F028"/>
    </w:r>
    <w:r>
      <w:tab/>
      <w:t>Tel.: 224</w:t>
    </w:r>
    <w:r w:rsidR="00E753A8">
      <w:t> 095 496</w:t>
    </w:r>
    <w:r>
      <w:tab/>
    </w:r>
    <w:r>
      <w:sym w:font="Wingdings" w:char="F03A"/>
    </w:r>
    <w:r>
      <w:tab/>
      <w:t>http://iom.vse.cz</w:t>
    </w:r>
  </w:p>
  <w:p w:rsidR="00AF78F4" w:rsidRDefault="00AF78F4" w:rsidP="00726F09">
    <w:pPr>
      <w:pStyle w:val="Zpat"/>
      <w:tabs>
        <w:tab w:val="clear" w:pos="4536"/>
        <w:tab w:val="clear" w:pos="9072"/>
        <w:tab w:val="left" w:pos="426"/>
        <w:tab w:val="left" w:pos="3686"/>
        <w:tab w:val="left" w:pos="4111"/>
        <w:tab w:val="left" w:pos="7655"/>
        <w:tab w:val="left" w:pos="8080"/>
      </w:tabs>
      <w:spacing w:after="0"/>
    </w:pPr>
    <w:r>
      <w:tab/>
      <w:t>130 67  Praha 3</w:t>
    </w:r>
    <w:r>
      <w:tab/>
    </w:r>
    <w:r>
      <w:tab/>
    </w:r>
    <w:r w:rsidR="00E93678">
      <w:t xml:space="preserve">        </w:t>
    </w:r>
    <w:r>
      <w:tab/>
    </w:r>
    <w:r>
      <w:tab/>
      <w:t>e-mail: iom@vse.cz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E7" w:rsidRDefault="00456EE7">
      <w:r>
        <w:separator/>
      </w:r>
    </w:p>
  </w:footnote>
  <w:footnote w:type="continuationSeparator" w:id="0">
    <w:p w:rsidR="00456EE7" w:rsidRDefault="00456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5D2BD5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79E466C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34B"/>
    <w:rsid w:val="000101B3"/>
    <w:rsid w:val="00012D0B"/>
    <w:rsid w:val="00015887"/>
    <w:rsid w:val="00034A42"/>
    <w:rsid w:val="00041288"/>
    <w:rsid w:val="00047B44"/>
    <w:rsid w:val="0005209E"/>
    <w:rsid w:val="00053D7C"/>
    <w:rsid w:val="000672D7"/>
    <w:rsid w:val="00084DCA"/>
    <w:rsid w:val="000A734E"/>
    <w:rsid w:val="000B28CD"/>
    <w:rsid w:val="000C1C92"/>
    <w:rsid w:val="000C4DEF"/>
    <w:rsid w:val="000C62F4"/>
    <w:rsid w:val="000E35F6"/>
    <w:rsid w:val="000E4D7A"/>
    <w:rsid w:val="00102FE2"/>
    <w:rsid w:val="00106378"/>
    <w:rsid w:val="00113387"/>
    <w:rsid w:val="001271D3"/>
    <w:rsid w:val="00182665"/>
    <w:rsid w:val="0018490B"/>
    <w:rsid w:val="001956EA"/>
    <w:rsid w:val="001958C8"/>
    <w:rsid w:val="001A11E9"/>
    <w:rsid w:val="001A4E2D"/>
    <w:rsid w:val="001B6FD2"/>
    <w:rsid w:val="001C7C2C"/>
    <w:rsid w:val="001D4324"/>
    <w:rsid w:val="001D6851"/>
    <w:rsid w:val="001E08A3"/>
    <w:rsid w:val="001F5B1F"/>
    <w:rsid w:val="002063B4"/>
    <w:rsid w:val="00215784"/>
    <w:rsid w:val="00221EF8"/>
    <w:rsid w:val="00222410"/>
    <w:rsid w:val="00223C6C"/>
    <w:rsid w:val="0024734B"/>
    <w:rsid w:val="002503CD"/>
    <w:rsid w:val="00251B31"/>
    <w:rsid w:val="002578C6"/>
    <w:rsid w:val="00273956"/>
    <w:rsid w:val="00285452"/>
    <w:rsid w:val="0029473E"/>
    <w:rsid w:val="00296E60"/>
    <w:rsid w:val="002A3B16"/>
    <w:rsid w:val="002A4332"/>
    <w:rsid w:val="002B25E6"/>
    <w:rsid w:val="002C14DC"/>
    <w:rsid w:val="002C67EA"/>
    <w:rsid w:val="002D05A0"/>
    <w:rsid w:val="002E5633"/>
    <w:rsid w:val="002E603F"/>
    <w:rsid w:val="002E7D49"/>
    <w:rsid w:val="003028D8"/>
    <w:rsid w:val="00302A84"/>
    <w:rsid w:val="00320A0D"/>
    <w:rsid w:val="00320E0D"/>
    <w:rsid w:val="003349E2"/>
    <w:rsid w:val="0034075E"/>
    <w:rsid w:val="003525B9"/>
    <w:rsid w:val="00353CD1"/>
    <w:rsid w:val="0035783F"/>
    <w:rsid w:val="00362DD7"/>
    <w:rsid w:val="00365BCF"/>
    <w:rsid w:val="00371699"/>
    <w:rsid w:val="003735BB"/>
    <w:rsid w:val="00374823"/>
    <w:rsid w:val="00384617"/>
    <w:rsid w:val="00387FD6"/>
    <w:rsid w:val="003930C2"/>
    <w:rsid w:val="00397FBD"/>
    <w:rsid w:val="003B0086"/>
    <w:rsid w:val="003B490A"/>
    <w:rsid w:val="003C549A"/>
    <w:rsid w:val="003F642A"/>
    <w:rsid w:val="003F663F"/>
    <w:rsid w:val="0040507B"/>
    <w:rsid w:val="00426703"/>
    <w:rsid w:val="00426E84"/>
    <w:rsid w:val="00437070"/>
    <w:rsid w:val="004444BB"/>
    <w:rsid w:val="00446FCA"/>
    <w:rsid w:val="00447501"/>
    <w:rsid w:val="00447F7C"/>
    <w:rsid w:val="004503D9"/>
    <w:rsid w:val="00450790"/>
    <w:rsid w:val="004525A8"/>
    <w:rsid w:val="004560FC"/>
    <w:rsid w:val="00456EE7"/>
    <w:rsid w:val="004841DC"/>
    <w:rsid w:val="004861C7"/>
    <w:rsid w:val="004873E4"/>
    <w:rsid w:val="004A7D37"/>
    <w:rsid w:val="004B264C"/>
    <w:rsid w:val="004B4949"/>
    <w:rsid w:val="004E062C"/>
    <w:rsid w:val="004E629A"/>
    <w:rsid w:val="004F0304"/>
    <w:rsid w:val="0054547A"/>
    <w:rsid w:val="005665E0"/>
    <w:rsid w:val="00571752"/>
    <w:rsid w:val="005847C4"/>
    <w:rsid w:val="0058492E"/>
    <w:rsid w:val="005908CF"/>
    <w:rsid w:val="00593902"/>
    <w:rsid w:val="005940BC"/>
    <w:rsid w:val="005A7312"/>
    <w:rsid w:val="005C1585"/>
    <w:rsid w:val="005C2D02"/>
    <w:rsid w:val="005D1B0A"/>
    <w:rsid w:val="005D7723"/>
    <w:rsid w:val="00610126"/>
    <w:rsid w:val="006125DB"/>
    <w:rsid w:val="00617D64"/>
    <w:rsid w:val="00621536"/>
    <w:rsid w:val="0065440C"/>
    <w:rsid w:val="00657DDC"/>
    <w:rsid w:val="0066378C"/>
    <w:rsid w:val="00664946"/>
    <w:rsid w:val="00666016"/>
    <w:rsid w:val="006779FA"/>
    <w:rsid w:val="0068085D"/>
    <w:rsid w:val="006822F4"/>
    <w:rsid w:val="00683B98"/>
    <w:rsid w:val="00684970"/>
    <w:rsid w:val="006A0F25"/>
    <w:rsid w:val="006A32B1"/>
    <w:rsid w:val="006A3DC7"/>
    <w:rsid w:val="006C3192"/>
    <w:rsid w:val="006D1EA9"/>
    <w:rsid w:val="006D2CF2"/>
    <w:rsid w:val="006D3ECF"/>
    <w:rsid w:val="006D44E1"/>
    <w:rsid w:val="006D6C28"/>
    <w:rsid w:val="006E7BB9"/>
    <w:rsid w:val="0070656C"/>
    <w:rsid w:val="007256AB"/>
    <w:rsid w:val="00726F09"/>
    <w:rsid w:val="007625DC"/>
    <w:rsid w:val="007919A0"/>
    <w:rsid w:val="00794DAA"/>
    <w:rsid w:val="00796B8F"/>
    <w:rsid w:val="00796F70"/>
    <w:rsid w:val="007A7C67"/>
    <w:rsid w:val="007A7EE3"/>
    <w:rsid w:val="007C48A4"/>
    <w:rsid w:val="007C6264"/>
    <w:rsid w:val="007D3355"/>
    <w:rsid w:val="007D655C"/>
    <w:rsid w:val="007E2D71"/>
    <w:rsid w:val="007E6811"/>
    <w:rsid w:val="007F0697"/>
    <w:rsid w:val="00804671"/>
    <w:rsid w:val="008131E2"/>
    <w:rsid w:val="00814943"/>
    <w:rsid w:val="00820139"/>
    <w:rsid w:val="00850FED"/>
    <w:rsid w:val="00860086"/>
    <w:rsid w:val="008673C0"/>
    <w:rsid w:val="00874B19"/>
    <w:rsid w:val="00875B77"/>
    <w:rsid w:val="00885418"/>
    <w:rsid w:val="008B329B"/>
    <w:rsid w:val="008B3709"/>
    <w:rsid w:val="00900F74"/>
    <w:rsid w:val="00911E47"/>
    <w:rsid w:val="00913704"/>
    <w:rsid w:val="00917DB3"/>
    <w:rsid w:val="00934E06"/>
    <w:rsid w:val="00957A2F"/>
    <w:rsid w:val="00962564"/>
    <w:rsid w:val="00962718"/>
    <w:rsid w:val="00964AB4"/>
    <w:rsid w:val="009718EE"/>
    <w:rsid w:val="00974159"/>
    <w:rsid w:val="009748FC"/>
    <w:rsid w:val="00986FCA"/>
    <w:rsid w:val="00990734"/>
    <w:rsid w:val="0099389A"/>
    <w:rsid w:val="00995C4E"/>
    <w:rsid w:val="009B3BB1"/>
    <w:rsid w:val="009B3E7B"/>
    <w:rsid w:val="009C2923"/>
    <w:rsid w:val="009C3361"/>
    <w:rsid w:val="009C3C48"/>
    <w:rsid w:val="009C456C"/>
    <w:rsid w:val="009D574C"/>
    <w:rsid w:val="00A161A2"/>
    <w:rsid w:val="00A53204"/>
    <w:rsid w:val="00A54BC8"/>
    <w:rsid w:val="00A819BF"/>
    <w:rsid w:val="00AA011B"/>
    <w:rsid w:val="00AC2C73"/>
    <w:rsid w:val="00AC7E74"/>
    <w:rsid w:val="00AD30FF"/>
    <w:rsid w:val="00AE0B8C"/>
    <w:rsid w:val="00AF2ED6"/>
    <w:rsid w:val="00AF78F4"/>
    <w:rsid w:val="00B11628"/>
    <w:rsid w:val="00B211C7"/>
    <w:rsid w:val="00B246DF"/>
    <w:rsid w:val="00B4528E"/>
    <w:rsid w:val="00B53B11"/>
    <w:rsid w:val="00B57A3B"/>
    <w:rsid w:val="00B71A46"/>
    <w:rsid w:val="00B81AE6"/>
    <w:rsid w:val="00BA19E9"/>
    <w:rsid w:val="00BA71D3"/>
    <w:rsid w:val="00BB6746"/>
    <w:rsid w:val="00BD3646"/>
    <w:rsid w:val="00C02EEE"/>
    <w:rsid w:val="00C12704"/>
    <w:rsid w:val="00C12DEA"/>
    <w:rsid w:val="00C13A35"/>
    <w:rsid w:val="00C25DA5"/>
    <w:rsid w:val="00C300D8"/>
    <w:rsid w:val="00C33DBF"/>
    <w:rsid w:val="00C34751"/>
    <w:rsid w:val="00C36219"/>
    <w:rsid w:val="00C401FB"/>
    <w:rsid w:val="00C40283"/>
    <w:rsid w:val="00C407E4"/>
    <w:rsid w:val="00C53AB8"/>
    <w:rsid w:val="00C57FA9"/>
    <w:rsid w:val="00C71F2F"/>
    <w:rsid w:val="00C77D51"/>
    <w:rsid w:val="00C80A28"/>
    <w:rsid w:val="00C858C4"/>
    <w:rsid w:val="00C955B6"/>
    <w:rsid w:val="00C9591F"/>
    <w:rsid w:val="00CB0501"/>
    <w:rsid w:val="00CB2597"/>
    <w:rsid w:val="00CB272B"/>
    <w:rsid w:val="00CD72CE"/>
    <w:rsid w:val="00CE0283"/>
    <w:rsid w:val="00CE11BF"/>
    <w:rsid w:val="00CF2CD0"/>
    <w:rsid w:val="00D032FC"/>
    <w:rsid w:val="00D074F3"/>
    <w:rsid w:val="00D14664"/>
    <w:rsid w:val="00D15B92"/>
    <w:rsid w:val="00D318B1"/>
    <w:rsid w:val="00D506C7"/>
    <w:rsid w:val="00D83DA5"/>
    <w:rsid w:val="00D92118"/>
    <w:rsid w:val="00DA621B"/>
    <w:rsid w:val="00DB43C5"/>
    <w:rsid w:val="00DC7115"/>
    <w:rsid w:val="00DD2ED7"/>
    <w:rsid w:val="00DD4B8E"/>
    <w:rsid w:val="00DD6FF6"/>
    <w:rsid w:val="00DD7F6A"/>
    <w:rsid w:val="00DE7159"/>
    <w:rsid w:val="00DF4F04"/>
    <w:rsid w:val="00DF79E6"/>
    <w:rsid w:val="00DF7AEF"/>
    <w:rsid w:val="00E2297B"/>
    <w:rsid w:val="00E35A60"/>
    <w:rsid w:val="00E471DA"/>
    <w:rsid w:val="00E472F5"/>
    <w:rsid w:val="00E47530"/>
    <w:rsid w:val="00E57A8F"/>
    <w:rsid w:val="00E61003"/>
    <w:rsid w:val="00E66ECE"/>
    <w:rsid w:val="00E753A8"/>
    <w:rsid w:val="00E90E4D"/>
    <w:rsid w:val="00E90E5E"/>
    <w:rsid w:val="00E91CB7"/>
    <w:rsid w:val="00E93678"/>
    <w:rsid w:val="00EA5B69"/>
    <w:rsid w:val="00EB263E"/>
    <w:rsid w:val="00EC49FE"/>
    <w:rsid w:val="00EC5578"/>
    <w:rsid w:val="00EC5EFA"/>
    <w:rsid w:val="00EC7F59"/>
    <w:rsid w:val="00ED36F9"/>
    <w:rsid w:val="00EF0C64"/>
    <w:rsid w:val="00EF52DE"/>
    <w:rsid w:val="00EF5E51"/>
    <w:rsid w:val="00F06936"/>
    <w:rsid w:val="00F46F41"/>
    <w:rsid w:val="00F47484"/>
    <w:rsid w:val="00F52A72"/>
    <w:rsid w:val="00F67BD2"/>
    <w:rsid w:val="00F76C59"/>
    <w:rsid w:val="00F9210E"/>
    <w:rsid w:val="00F93971"/>
    <w:rsid w:val="00F96F2E"/>
    <w:rsid w:val="00FA1E9D"/>
    <w:rsid w:val="00FA28D8"/>
    <w:rsid w:val="00FA2D9E"/>
    <w:rsid w:val="00FB0781"/>
    <w:rsid w:val="00FC3682"/>
    <w:rsid w:val="00FD24E4"/>
    <w:rsid w:val="00FD39D7"/>
    <w:rsid w:val="00FE0B49"/>
    <w:rsid w:val="00FE1D9F"/>
    <w:rsid w:val="00FE1E9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A665A"/>
  <w15:docId w15:val="{654EB17D-20DA-4CB9-BF6C-04EE9ACF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E35F6"/>
    <w:pPr>
      <w:spacing w:after="120"/>
      <w:jc w:val="both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E35F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E35F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35F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5DA5"/>
    <w:pPr>
      <w:ind w:left="720"/>
      <w:contextualSpacing/>
    </w:pPr>
  </w:style>
  <w:style w:type="character" w:styleId="Odkaznakoment">
    <w:name w:val="annotation reference"/>
    <w:rsid w:val="00617D6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7D6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17D64"/>
  </w:style>
  <w:style w:type="paragraph" w:styleId="Pedmtkomente">
    <w:name w:val="annotation subject"/>
    <w:basedOn w:val="Textkomente"/>
    <w:next w:val="Textkomente"/>
    <w:link w:val="PedmtkomenteChar"/>
    <w:rsid w:val="00617D64"/>
    <w:rPr>
      <w:b/>
      <w:bCs/>
    </w:rPr>
  </w:style>
  <w:style w:type="character" w:customStyle="1" w:styleId="PedmtkomenteChar">
    <w:name w:val="Předmět komentáře Char"/>
    <w:link w:val="Pedmtkomente"/>
    <w:rsid w:val="00617D64"/>
    <w:rPr>
      <w:b/>
      <w:bCs/>
    </w:rPr>
  </w:style>
  <w:style w:type="paragraph" w:styleId="Textbubliny">
    <w:name w:val="Balloon Text"/>
    <w:basedOn w:val="Normln"/>
    <w:link w:val="TextbublinyChar"/>
    <w:rsid w:val="00617D64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617D64"/>
    <w:rPr>
      <w:rFonts w:ascii="Tahoma" w:hAnsi="Tahoma" w:cs="Tahoma"/>
      <w:sz w:val="16"/>
      <w:szCs w:val="16"/>
    </w:rPr>
  </w:style>
  <w:style w:type="character" w:styleId="Hypertextovodkaz">
    <w:name w:val="Hyperlink"/>
    <w:rsid w:val="00365BCF"/>
    <w:rPr>
      <w:color w:val="0563C1"/>
      <w:u w:val="single"/>
    </w:rPr>
  </w:style>
  <w:style w:type="character" w:customStyle="1" w:styleId="ZpatChar">
    <w:name w:val="Zápatí Char"/>
    <w:link w:val="Zpat"/>
    <w:uiPriority w:val="99"/>
    <w:rsid w:val="00C02EE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1226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</dc:creator>
  <cp:lastModifiedBy>Pavla Maříková</cp:lastModifiedBy>
  <cp:revision>12</cp:revision>
  <cp:lastPrinted>2019-05-27T08:52:00Z</cp:lastPrinted>
  <dcterms:created xsi:type="dcterms:W3CDTF">2019-05-27T08:46:00Z</dcterms:created>
  <dcterms:modified xsi:type="dcterms:W3CDTF">2019-10-25T11:16:00Z</dcterms:modified>
</cp:coreProperties>
</file>