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DC1" w:rsidRPr="005E0D75" w:rsidRDefault="009D4DC8" w:rsidP="00D845F2">
      <w:pPr>
        <w:jc w:val="center"/>
        <w:rPr>
          <w:b/>
          <w:bCs/>
          <w:caps/>
          <w:sz w:val="32"/>
          <w:szCs w:val="32"/>
        </w:rPr>
      </w:pPr>
      <w:r w:rsidRPr="005E0D75">
        <w:rPr>
          <w:b/>
          <w:bCs/>
          <w:sz w:val="40"/>
          <w:szCs w:val="40"/>
        </w:rPr>
        <w:t>Návrh směrnice pro oceňování nehmotných aktiv v podmínkách České republiky</w:t>
      </w:r>
    </w:p>
    <w:p w:rsidR="0097771B" w:rsidRPr="005E0D75" w:rsidRDefault="0097771B" w:rsidP="0097771B">
      <w:pPr>
        <w:rPr>
          <w:b/>
          <w:bCs/>
        </w:rPr>
      </w:pPr>
      <w:r w:rsidRPr="005E0D75">
        <w:rPr>
          <w:b/>
          <w:bCs/>
        </w:rPr>
        <w:t>Obsah</w:t>
      </w:r>
    </w:p>
    <w:p w:rsidR="005E0D75" w:rsidRDefault="00D0230F">
      <w:pPr>
        <w:pStyle w:val="Obsah1"/>
        <w:rPr>
          <w:rFonts w:asciiTheme="minorHAnsi" w:eastAsiaTheme="minorEastAsia" w:hAnsiTheme="minorHAnsi" w:cstheme="minorBidi"/>
          <w:noProof/>
          <w:sz w:val="22"/>
          <w:szCs w:val="22"/>
        </w:rPr>
      </w:pPr>
      <w:r w:rsidRPr="005E0D75">
        <w:fldChar w:fldCharType="begin"/>
      </w:r>
      <w:r w:rsidR="0097771B" w:rsidRPr="005E0D75">
        <w:instrText xml:space="preserve"> TOC \o "1-3" \h \z \u </w:instrText>
      </w:r>
      <w:r w:rsidRPr="005E0D75">
        <w:fldChar w:fldCharType="separate"/>
      </w:r>
      <w:hyperlink w:anchor="_Toc301173563" w:history="1">
        <w:r w:rsidR="005E0D75" w:rsidRPr="005B381C">
          <w:rPr>
            <w:rStyle w:val="Hypertextovodkaz"/>
            <w:noProof/>
          </w:rPr>
          <w:t>1</w:t>
        </w:r>
        <w:r w:rsidR="005E0D75">
          <w:rPr>
            <w:rFonts w:asciiTheme="minorHAnsi" w:eastAsiaTheme="minorEastAsia" w:hAnsiTheme="minorHAnsi" w:cstheme="minorBidi"/>
            <w:noProof/>
            <w:sz w:val="22"/>
            <w:szCs w:val="22"/>
          </w:rPr>
          <w:tab/>
        </w:r>
        <w:r w:rsidR="005E0D75" w:rsidRPr="005B381C">
          <w:rPr>
            <w:rStyle w:val="Hypertextovodkaz"/>
            <w:noProof/>
          </w:rPr>
          <w:t>Cíle směrnice</w:t>
        </w:r>
        <w:r w:rsidR="005E0D75">
          <w:rPr>
            <w:noProof/>
            <w:webHidden/>
          </w:rPr>
          <w:tab/>
        </w:r>
        <w:r>
          <w:rPr>
            <w:noProof/>
            <w:webHidden/>
          </w:rPr>
          <w:fldChar w:fldCharType="begin"/>
        </w:r>
        <w:r w:rsidR="005E0D75">
          <w:rPr>
            <w:noProof/>
            <w:webHidden/>
          </w:rPr>
          <w:instrText xml:space="preserve"> PAGEREF _Toc301173563 \h </w:instrText>
        </w:r>
        <w:r>
          <w:rPr>
            <w:noProof/>
            <w:webHidden/>
          </w:rPr>
        </w:r>
        <w:r>
          <w:rPr>
            <w:noProof/>
            <w:webHidden/>
          </w:rPr>
          <w:fldChar w:fldCharType="separate"/>
        </w:r>
        <w:r w:rsidR="005E0D75">
          <w:rPr>
            <w:noProof/>
            <w:webHidden/>
          </w:rPr>
          <w:t>1</w:t>
        </w:r>
        <w:r>
          <w:rPr>
            <w:noProof/>
            <w:webHidden/>
          </w:rPr>
          <w:fldChar w:fldCharType="end"/>
        </w:r>
      </w:hyperlink>
    </w:p>
    <w:p w:rsidR="005E0D75" w:rsidRDefault="00D0230F">
      <w:pPr>
        <w:pStyle w:val="Obsah1"/>
        <w:rPr>
          <w:rFonts w:asciiTheme="minorHAnsi" w:eastAsiaTheme="minorEastAsia" w:hAnsiTheme="minorHAnsi" w:cstheme="minorBidi"/>
          <w:noProof/>
          <w:sz w:val="22"/>
          <w:szCs w:val="22"/>
        </w:rPr>
      </w:pPr>
      <w:hyperlink w:anchor="_Toc301173564" w:history="1">
        <w:r w:rsidR="005E0D75" w:rsidRPr="005B381C">
          <w:rPr>
            <w:rStyle w:val="Hypertextovodkaz"/>
            <w:noProof/>
          </w:rPr>
          <w:t>2</w:t>
        </w:r>
        <w:r w:rsidR="005E0D75">
          <w:rPr>
            <w:rFonts w:asciiTheme="minorHAnsi" w:eastAsiaTheme="minorEastAsia" w:hAnsiTheme="minorHAnsi" w:cstheme="minorBidi"/>
            <w:noProof/>
            <w:sz w:val="22"/>
            <w:szCs w:val="22"/>
          </w:rPr>
          <w:tab/>
        </w:r>
        <w:r w:rsidR="005E0D75" w:rsidRPr="005B381C">
          <w:rPr>
            <w:rStyle w:val="Hypertextovodkaz"/>
            <w:noProof/>
          </w:rPr>
          <w:t>Základní pojmy</w:t>
        </w:r>
        <w:r w:rsidR="005E0D75">
          <w:rPr>
            <w:noProof/>
            <w:webHidden/>
          </w:rPr>
          <w:tab/>
        </w:r>
        <w:r>
          <w:rPr>
            <w:noProof/>
            <w:webHidden/>
          </w:rPr>
          <w:fldChar w:fldCharType="begin"/>
        </w:r>
        <w:r w:rsidR="005E0D75">
          <w:rPr>
            <w:noProof/>
            <w:webHidden/>
          </w:rPr>
          <w:instrText xml:space="preserve"> PAGEREF _Toc301173564 \h </w:instrText>
        </w:r>
        <w:r>
          <w:rPr>
            <w:noProof/>
            <w:webHidden/>
          </w:rPr>
        </w:r>
        <w:r>
          <w:rPr>
            <w:noProof/>
            <w:webHidden/>
          </w:rPr>
          <w:fldChar w:fldCharType="separate"/>
        </w:r>
        <w:r w:rsidR="005E0D75">
          <w:rPr>
            <w:noProof/>
            <w:webHidden/>
          </w:rPr>
          <w:t>2</w:t>
        </w:r>
        <w:r>
          <w:rPr>
            <w:noProof/>
            <w:webHidden/>
          </w:rPr>
          <w:fldChar w:fldCharType="end"/>
        </w:r>
      </w:hyperlink>
    </w:p>
    <w:p w:rsidR="005E0D75" w:rsidRDefault="00D0230F">
      <w:pPr>
        <w:pStyle w:val="Obsah1"/>
        <w:rPr>
          <w:rFonts w:asciiTheme="minorHAnsi" w:eastAsiaTheme="minorEastAsia" w:hAnsiTheme="minorHAnsi" w:cstheme="minorBidi"/>
          <w:noProof/>
          <w:sz w:val="22"/>
          <w:szCs w:val="22"/>
        </w:rPr>
      </w:pPr>
      <w:hyperlink w:anchor="_Toc301173565" w:history="1">
        <w:r w:rsidR="005E0D75" w:rsidRPr="005B381C">
          <w:rPr>
            <w:rStyle w:val="Hypertextovodkaz"/>
            <w:noProof/>
          </w:rPr>
          <w:t>3</w:t>
        </w:r>
        <w:r w:rsidR="005E0D75">
          <w:rPr>
            <w:rFonts w:asciiTheme="minorHAnsi" w:eastAsiaTheme="minorEastAsia" w:hAnsiTheme="minorHAnsi" w:cstheme="minorBidi"/>
            <w:noProof/>
            <w:sz w:val="22"/>
            <w:szCs w:val="22"/>
          </w:rPr>
          <w:tab/>
        </w:r>
        <w:r w:rsidR="005E0D75" w:rsidRPr="005B381C">
          <w:rPr>
            <w:rStyle w:val="Hypertextovodkaz"/>
            <w:noProof/>
          </w:rPr>
          <w:t>Typy nehmotných aktiv</w:t>
        </w:r>
        <w:r w:rsidR="005E0D75">
          <w:rPr>
            <w:noProof/>
            <w:webHidden/>
          </w:rPr>
          <w:tab/>
        </w:r>
        <w:r>
          <w:rPr>
            <w:noProof/>
            <w:webHidden/>
          </w:rPr>
          <w:fldChar w:fldCharType="begin"/>
        </w:r>
        <w:r w:rsidR="005E0D75">
          <w:rPr>
            <w:noProof/>
            <w:webHidden/>
          </w:rPr>
          <w:instrText xml:space="preserve"> PAGEREF _Toc301173565 \h </w:instrText>
        </w:r>
        <w:r>
          <w:rPr>
            <w:noProof/>
            <w:webHidden/>
          </w:rPr>
        </w:r>
        <w:r>
          <w:rPr>
            <w:noProof/>
            <w:webHidden/>
          </w:rPr>
          <w:fldChar w:fldCharType="separate"/>
        </w:r>
        <w:r w:rsidR="005E0D75">
          <w:rPr>
            <w:noProof/>
            <w:webHidden/>
          </w:rPr>
          <w:t>2</w:t>
        </w:r>
        <w:r>
          <w:rPr>
            <w:noProof/>
            <w:webHidden/>
          </w:rPr>
          <w:fldChar w:fldCharType="end"/>
        </w:r>
      </w:hyperlink>
    </w:p>
    <w:p w:rsidR="005E0D75" w:rsidRDefault="00D0230F">
      <w:pPr>
        <w:pStyle w:val="Obsah1"/>
        <w:rPr>
          <w:rFonts w:asciiTheme="minorHAnsi" w:eastAsiaTheme="minorEastAsia" w:hAnsiTheme="minorHAnsi" w:cstheme="minorBidi"/>
          <w:noProof/>
          <w:sz w:val="22"/>
          <w:szCs w:val="22"/>
        </w:rPr>
      </w:pPr>
      <w:hyperlink w:anchor="_Toc301173566" w:history="1">
        <w:r w:rsidR="005E0D75" w:rsidRPr="005B381C">
          <w:rPr>
            <w:rStyle w:val="Hypertextovodkaz"/>
            <w:noProof/>
          </w:rPr>
          <w:t>4</w:t>
        </w:r>
        <w:r w:rsidR="005E0D75">
          <w:rPr>
            <w:rFonts w:asciiTheme="minorHAnsi" w:eastAsiaTheme="minorEastAsia" w:hAnsiTheme="minorHAnsi" w:cstheme="minorBidi"/>
            <w:noProof/>
            <w:sz w:val="22"/>
            <w:szCs w:val="22"/>
          </w:rPr>
          <w:tab/>
        </w:r>
        <w:r w:rsidR="005E0D75" w:rsidRPr="005B381C">
          <w:rPr>
            <w:rStyle w:val="Hypertextovodkaz"/>
            <w:noProof/>
          </w:rPr>
          <w:t>Kategorie a forma hodnoty</w:t>
        </w:r>
        <w:r w:rsidR="005E0D75">
          <w:rPr>
            <w:noProof/>
            <w:webHidden/>
          </w:rPr>
          <w:tab/>
        </w:r>
        <w:r>
          <w:rPr>
            <w:noProof/>
            <w:webHidden/>
          </w:rPr>
          <w:fldChar w:fldCharType="begin"/>
        </w:r>
        <w:r w:rsidR="005E0D75">
          <w:rPr>
            <w:noProof/>
            <w:webHidden/>
          </w:rPr>
          <w:instrText xml:space="preserve"> PAGEREF _Toc301173566 \h </w:instrText>
        </w:r>
        <w:r>
          <w:rPr>
            <w:noProof/>
            <w:webHidden/>
          </w:rPr>
        </w:r>
        <w:r>
          <w:rPr>
            <w:noProof/>
            <w:webHidden/>
          </w:rPr>
          <w:fldChar w:fldCharType="separate"/>
        </w:r>
        <w:r w:rsidR="005E0D75">
          <w:rPr>
            <w:noProof/>
            <w:webHidden/>
          </w:rPr>
          <w:t>3</w:t>
        </w:r>
        <w:r>
          <w:rPr>
            <w:noProof/>
            <w:webHidden/>
          </w:rPr>
          <w:fldChar w:fldCharType="end"/>
        </w:r>
      </w:hyperlink>
    </w:p>
    <w:p w:rsidR="005E0D75" w:rsidRDefault="00D0230F">
      <w:pPr>
        <w:pStyle w:val="Obsah1"/>
        <w:rPr>
          <w:rFonts w:asciiTheme="minorHAnsi" w:eastAsiaTheme="minorEastAsia" w:hAnsiTheme="minorHAnsi" w:cstheme="minorBidi"/>
          <w:noProof/>
          <w:sz w:val="22"/>
          <w:szCs w:val="22"/>
        </w:rPr>
      </w:pPr>
      <w:hyperlink w:anchor="_Toc301173567" w:history="1">
        <w:r w:rsidR="005E0D75" w:rsidRPr="005B381C">
          <w:rPr>
            <w:rStyle w:val="Hypertextovodkaz"/>
            <w:noProof/>
          </w:rPr>
          <w:t>5</w:t>
        </w:r>
        <w:r w:rsidR="005E0D75">
          <w:rPr>
            <w:rFonts w:asciiTheme="minorHAnsi" w:eastAsiaTheme="minorEastAsia" w:hAnsiTheme="minorHAnsi" w:cstheme="minorBidi"/>
            <w:noProof/>
            <w:sz w:val="22"/>
            <w:szCs w:val="22"/>
          </w:rPr>
          <w:tab/>
        </w:r>
        <w:r w:rsidR="005E0D75" w:rsidRPr="005B381C">
          <w:rPr>
            <w:rStyle w:val="Hypertextovodkaz"/>
            <w:noProof/>
          </w:rPr>
          <w:t>Přístupy a metody ocenění</w:t>
        </w:r>
        <w:r w:rsidR="005E0D75">
          <w:rPr>
            <w:noProof/>
            <w:webHidden/>
          </w:rPr>
          <w:tab/>
        </w:r>
        <w:r>
          <w:rPr>
            <w:noProof/>
            <w:webHidden/>
          </w:rPr>
          <w:fldChar w:fldCharType="begin"/>
        </w:r>
        <w:r w:rsidR="005E0D75">
          <w:rPr>
            <w:noProof/>
            <w:webHidden/>
          </w:rPr>
          <w:instrText xml:space="preserve"> PAGEREF _Toc301173567 \h </w:instrText>
        </w:r>
        <w:r>
          <w:rPr>
            <w:noProof/>
            <w:webHidden/>
          </w:rPr>
        </w:r>
        <w:r>
          <w:rPr>
            <w:noProof/>
            <w:webHidden/>
          </w:rPr>
          <w:fldChar w:fldCharType="separate"/>
        </w:r>
        <w:r w:rsidR="005E0D75">
          <w:rPr>
            <w:noProof/>
            <w:webHidden/>
          </w:rPr>
          <w:t>6</w:t>
        </w:r>
        <w:r>
          <w:rPr>
            <w:noProof/>
            <w:webHidden/>
          </w:rPr>
          <w:fldChar w:fldCharType="end"/>
        </w:r>
      </w:hyperlink>
    </w:p>
    <w:p w:rsidR="005E0D75" w:rsidRDefault="00D0230F">
      <w:pPr>
        <w:pStyle w:val="Obsah2"/>
        <w:rPr>
          <w:rFonts w:asciiTheme="minorHAnsi" w:eastAsiaTheme="minorEastAsia" w:hAnsiTheme="minorHAnsi" w:cstheme="minorBidi"/>
          <w:i w:val="0"/>
          <w:noProof/>
          <w:sz w:val="22"/>
          <w:szCs w:val="22"/>
        </w:rPr>
      </w:pPr>
      <w:hyperlink w:anchor="_Toc301173568" w:history="1">
        <w:r w:rsidR="005E0D75" w:rsidRPr="005B381C">
          <w:rPr>
            <w:rStyle w:val="Hypertextovodkaz"/>
            <w:noProof/>
          </w:rPr>
          <w:t>5.1</w:t>
        </w:r>
        <w:r w:rsidR="005E0D75">
          <w:rPr>
            <w:rFonts w:asciiTheme="minorHAnsi" w:eastAsiaTheme="minorEastAsia" w:hAnsiTheme="minorHAnsi" w:cstheme="minorBidi"/>
            <w:i w:val="0"/>
            <w:noProof/>
            <w:sz w:val="22"/>
            <w:szCs w:val="22"/>
          </w:rPr>
          <w:tab/>
        </w:r>
        <w:r w:rsidR="005E0D75" w:rsidRPr="005B381C">
          <w:rPr>
            <w:rStyle w:val="Hypertextovodkaz"/>
            <w:noProof/>
          </w:rPr>
          <w:t>Srovnávací přístup</w:t>
        </w:r>
        <w:r w:rsidR="005E0D75">
          <w:rPr>
            <w:noProof/>
            <w:webHidden/>
          </w:rPr>
          <w:tab/>
        </w:r>
        <w:r>
          <w:rPr>
            <w:noProof/>
            <w:webHidden/>
          </w:rPr>
          <w:fldChar w:fldCharType="begin"/>
        </w:r>
        <w:r w:rsidR="005E0D75">
          <w:rPr>
            <w:noProof/>
            <w:webHidden/>
          </w:rPr>
          <w:instrText xml:space="preserve"> PAGEREF _Toc301173568 \h </w:instrText>
        </w:r>
        <w:r>
          <w:rPr>
            <w:noProof/>
            <w:webHidden/>
          </w:rPr>
        </w:r>
        <w:r>
          <w:rPr>
            <w:noProof/>
            <w:webHidden/>
          </w:rPr>
          <w:fldChar w:fldCharType="separate"/>
        </w:r>
        <w:r w:rsidR="005E0D75">
          <w:rPr>
            <w:noProof/>
            <w:webHidden/>
          </w:rPr>
          <w:t>6</w:t>
        </w:r>
        <w:r>
          <w:rPr>
            <w:noProof/>
            <w:webHidden/>
          </w:rPr>
          <w:fldChar w:fldCharType="end"/>
        </w:r>
      </w:hyperlink>
    </w:p>
    <w:p w:rsidR="005E0D75" w:rsidRDefault="00D0230F">
      <w:pPr>
        <w:pStyle w:val="Obsah2"/>
        <w:rPr>
          <w:rFonts w:asciiTheme="minorHAnsi" w:eastAsiaTheme="minorEastAsia" w:hAnsiTheme="minorHAnsi" w:cstheme="minorBidi"/>
          <w:i w:val="0"/>
          <w:noProof/>
          <w:sz w:val="22"/>
          <w:szCs w:val="22"/>
        </w:rPr>
      </w:pPr>
      <w:hyperlink w:anchor="_Toc301173569" w:history="1">
        <w:r w:rsidR="005E0D75" w:rsidRPr="005B381C">
          <w:rPr>
            <w:rStyle w:val="Hypertextovodkaz"/>
            <w:noProof/>
          </w:rPr>
          <w:t>5.2</w:t>
        </w:r>
        <w:r w:rsidR="005E0D75">
          <w:rPr>
            <w:rFonts w:asciiTheme="minorHAnsi" w:eastAsiaTheme="minorEastAsia" w:hAnsiTheme="minorHAnsi" w:cstheme="minorBidi"/>
            <w:i w:val="0"/>
            <w:noProof/>
            <w:sz w:val="22"/>
            <w:szCs w:val="22"/>
          </w:rPr>
          <w:tab/>
        </w:r>
        <w:r w:rsidR="005E0D75" w:rsidRPr="005B381C">
          <w:rPr>
            <w:rStyle w:val="Hypertextovodkaz"/>
            <w:noProof/>
          </w:rPr>
          <w:t>Výnosový přístup</w:t>
        </w:r>
        <w:r w:rsidR="005E0D75">
          <w:rPr>
            <w:noProof/>
            <w:webHidden/>
          </w:rPr>
          <w:tab/>
        </w:r>
        <w:r>
          <w:rPr>
            <w:noProof/>
            <w:webHidden/>
          </w:rPr>
          <w:fldChar w:fldCharType="begin"/>
        </w:r>
        <w:r w:rsidR="005E0D75">
          <w:rPr>
            <w:noProof/>
            <w:webHidden/>
          </w:rPr>
          <w:instrText xml:space="preserve"> PAGEREF _Toc301173569 \h </w:instrText>
        </w:r>
        <w:r>
          <w:rPr>
            <w:noProof/>
            <w:webHidden/>
          </w:rPr>
        </w:r>
        <w:r>
          <w:rPr>
            <w:noProof/>
            <w:webHidden/>
          </w:rPr>
          <w:fldChar w:fldCharType="separate"/>
        </w:r>
        <w:r w:rsidR="005E0D75">
          <w:rPr>
            <w:noProof/>
            <w:webHidden/>
          </w:rPr>
          <w:t>6</w:t>
        </w:r>
        <w:r>
          <w:rPr>
            <w:noProof/>
            <w:webHidden/>
          </w:rPr>
          <w:fldChar w:fldCharType="end"/>
        </w:r>
      </w:hyperlink>
    </w:p>
    <w:p w:rsidR="005E0D75" w:rsidRDefault="00D0230F">
      <w:pPr>
        <w:pStyle w:val="Obsah3"/>
        <w:tabs>
          <w:tab w:val="left" w:pos="1320"/>
          <w:tab w:val="right" w:leader="dot" w:pos="9062"/>
        </w:tabs>
        <w:rPr>
          <w:rFonts w:asciiTheme="minorHAnsi" w:eastAsiaTheme="minorEastAsia" w:hAnsiTheme="minorHAnsi" w:cstheme="minorBidi"/>
          <w:noProof/>
          <w:sz w:val="22"/>
          <w:szCs w:val="22"/>
        </w:rPr>
      </w:pPr>
      <w:hyperlink w:anchor="_Toc301173570" w:history="1">
        <w:r w:rsidR="005E0D75" w:rsidRPr="005B381C">
          <w:rPr>
            <w:rStyle w:val="Hypertextovodkaz"/>
            <w:noProof/>
          </w:rPr>
          <w:t>5.2.1</w:t>
        </w:r>
        <w:r w:rsidR="005E0D75">
          <w:rPr>
            <w:rFonts w:asciiTheme="minorHAnsi" w:eastAsiaTheme="minorEastAsia" w:hAnsiTheme="minorHAnsi" w:cstheme="minorBidi"/>
            <w:noProof/>
            <w:sz w:val="22"/>
            <w:szCs w:val="22"/>
          </w:rPr>
          <w:tab/>
        </w:r>
        <w:r w:rsidR="005E0D75" w:rsidRPr="005B381C">
          <w:rPr>
            <w:rStyle w:val="Hypertextovodkaz"/>
            <w:noProof/>
          </w:rPr>
          <w:t>Metoda licenční analogie</w:t>
        </w:r>
        <w:r w:rsidR="005E0D75">
          <w:rPr>
            <w:noProof/>
            <w:webHidden/>
          </w:rPr>
          <w:tab/>
        </w:r>
        <w:r>
          <w:rPr>
            <w:noProof/>
            <w:webHidden/>
          </w:rPr>
          <w:fldChar w:fldCharType="begin"/>
        </w:r>
        <w:r w:rsidR="005E0D75">
          <w:rPr>
            <w:noProof/>
            <w:webHidden/>
          </w:rPr>
          <w:instrText xml:space="preserve"> PAGEREF _Toc301173570 \h </w:instrText>
        </w:r>
        <w:r>
          <w:rPr>
            <w:noProof/>
            <w:webHidden/>
          </w:rPr>
        </w:r>
        <w:r>
          <w:rPr>
            <w:noProof/>
            <w:webHidden/>
          </w:rPr>
          <w:fldChar w:fldCharType="separate"/>
        </w:r>
        <w:r w:rsidR="005E0D75">
          <w:rPr>
            <w:noProof/>
            <w:webHidden/>
          </w:rPr>
          <w:t>7</w:t>
        </w:r>
        <w:r>
          <w:rPr>
            <w:noProof/>
            <w:webHidden/>
          </w:rPr>
          <w:fldChar w:fldCharType="end"/>
        </w:r>
      </w:hyperlink>
    </w:p>
    <w:p w:rsidR="005E0D75" w:rsidRDefault="00D0230F">
      <w:pPr>
        <w:pStyle w:val="Obsah3"/>
        <w:tabs>
          <w:tab w:val="left" w:pos="1320"/>
          <w:tab w:val="right" w:leader="dot" w:pos="9062"/>
        </w:tabs>
        <w:rPr>
          <w:rFonts w:asciiTheme="minorHAnsi" w:eastAsiaTheme="minorEastAsia" w:hAnsiTheme="minorHAnsi" w:cstheme="minorBidi"/>
          <w:noProof/>
          <w:sz w:val="22"/>
          <w:szCs w:val="22"/>
        </w:rPr>
      </w:pPr>
      <w:hyperlink w:anchor="_Toc301173571" w:history="1">
        <w:r w:rsidR="005E0D75" w:rsidRPr="005B381C">
          <w:rPr>
            <w:rStyle w:val="Hypertextovodkaz"/>
            <w:noProof/>
          </w:rPr>
          <w:t>5.2.2</w:t>
        </w:r>
        <w:r w:rsidR="005E0D75">
          <w:rPr>
            <w:rFonts w:asciiTheme="minorHAnsi" w:eastAsiaTheme="minorEastAsia" w:hAnsiTheme="minorHAnsi" w:cstheme="minorBidi"/>
            <w:noProof/>
            <w:sz w:val="22"/>
            <w:szCs w:val="22"/>
          </w:rPr>
          <w:tab/>
        </w:r>
        <w:r w:rsidR="005E0D75" w:rsidRPr="005B381C">
          <w:rPr>
            <w:rStyle w:val="Hypertextovodkaz"/>
            <w:noProof/>
          </w:rPr>
          <w:t>Metoda prémií</w:t>
        </w:r>
        <w:r w:rsidR="005E0D75">
          <w:rPr>
            <w:noProof/>
            <w:webHidden/>
          </w:rPr>
          <w:tab/>
        </w:r>
        <w:r>
          <w:rPr>
            <w:noProof/>
            <w:webHidden/>
          </w:rPr>
          <w:fldChar w:fldCharType="begin"/>
        </w:r>
        <w:r w:rsidR="005E0D75">
          <w:rPr>
            <w:noProof/>
            <w:webHidden/>
          </w:rPr>
          <w:instrText xml:space="preserve"> PAGEREF _Toc301173571 \h </w:instrText>
        </w:r>
        <w:r>
          <w:rPr>
            <w:noProof/>
            <w:webHidden/>
          </w:rPr>
        </w:r>
        <w:r>
          <w:rPr>
            <w:noProof/>
            <w:webHidden/>
          </w:rPr>
          <w:fldChar w:fldCharType="separate"/>
        </w:r>
        <w:r w:rsidR="005E0D75">
          <w:rPr>
            <w:noProof/>
            <w:webHidden/>
          </w:rPr>
          <w:t>9</w:t>
        </w:r>
        <w:r>
          <w:rPr>
            <w:noProof/>
            <w:webHidden/>
          </w:rPr>
          <w:fldChar w:fldCharType="end"/>
        </w:r>
      </w:hyperlink>
    </w:p>
    <w:p w:rsidR="005E0D75" w:rsidRDefault="00D0230F">
      <w:pPr>
        <w:pStyle w:val="Obsah3"/>
        <w:tabs>
          <w:tab w:val="left" w:pos="1320"/>
          <w:tab w:val="right" w:leader="dot" w:pos="9062"/>
        </w:tabs>
        <w:rPr>
          <w:rFonts w:asciiTheme="minorHAnsi" w:eastAsiaTheme="minorEastAsia" w:hAnsiTheme="minorHAnsi" w:cstheme="minorBidi"/>
          <w:noProof/>
          <w:sz w:val="22"/>
          <w:szCs w:val="22"/>
        </w:rPr>
      </w:pPr>
      <w:hyperlink w:anchor="_Toc301173572" w:history="1">
        <w:r w:rsidR="005E0D75" w:rsidRPr="005B381C">
          <w:rPr>
            <w:rStyle w:val="Hypertextovodkaz"/>
            <w:noProof/>
          </w:rPr>
          <w:t>5.2.3</w:t>
        </w:r>
        <w:r w:rsidR="005E0D75">
          <w:rPr>
            <w:rFonts w:asciiTheme="minorHAnsi" w:eastAsiaTheme="minorEastAsia" w:hAnsiTheme="minorHAnsi" w:cstheme="minorBidi"/>
            <w:noProof/>
            <w:sz w:val="22"/>
            <w:szCs w:val="22"/>
          </w:rPr>
          <w:tab/>
        </w:r>
        <w:r w:rsidR="005E0D75" w:rsidRPr="005B381C">
          <w:rPr>
            <w:rStyle w:val="Hypertextovodkaz"/>
            <w:noProof/>
          </w:rPr>
          <w:t>Metoda nadměrných zisků</w:t>
        </w:r>
        <w:r w:rsidR="005E0D75">
          <w:rPr>
            <w:noProof/>
            <w:webHidden/>
          </w:rPr>
          <w:tab/>
        </w:r>
        <w:r>
          <w:rPr>
            <w:noProof/>
            <w:webHidden/>
          </w:rPr>
          <w:fldChar w:fldCharType="begin"/>
        </w:r>
        <w:r w:rsidR="005E0D75">
          <w:rPr>
            <w:noProof/>
            <w:webHidden/>
          </w:rPr>
          <w:instrText xml:space="preserve"> PAGEREF _Toc301173572 \h </w:instrText>
        </w:r>
        <w:r>
          <w:rPr>
            <w:noProof/>
            <w:webHidden/>
          </w:rPr>
        </w:r>
        <w:r>
          <w:rPr>
            <w:noProof/>
            <w:webHidden/>
          </w:rPr>
          <w:fldChar w:fldCharType="separate"/>
        </w:r>
        <w:r w:rsidR="005E0D75">
          <w:rPr>
            <w:noProof/>
            <w:webHidden/>
          </w:rPr>
          <w:t>9</w:t>
        </w:r>
        <w:r>
          <w:rPr>
            <w:noProof/>
            <w:webHidden/>
          </w:rPr>
          <w:fldChar w:fldCharType="end"/>
        </w:r>
      </w:hyperlink>
    </w:p>
    <w:p w:rsidR="005E0D75" w:rsidRDefault="00D0230F">
      <w:pPr>
        <w:pStyle w:val="Obsah3"/>
        <w:tabs>
          <w:tab w:val="left" w:pos="1320"/>
          <w:tab w:val="right" w:leader="dot" w:pos="9062"/>
        </w:tabs>
        <w:rPr>
          <w:rFonts w:asciiTheme="minorHAnsi" w:eastAsiaTheme="minorEastAsia" w:hAnsiTheme="minorHAnsi" w:cstheme="minorBidi"/>
          <w:noProof/>
          <w:sz w:val="22"/>
          <w:szCs w:val="22"/>
        </w:rPr>
      </w:pPr>
      <w:hyperlink w:anchor="_Toc301173573" w:history="1">
        <w:r w:rsidR="005E0D75" w:rsidRPr="005B381C">
          <w:rPr>
            <w:rStyle w:val="Hypertextovodkaz"/>
            <w:noProof/>
          </w:rPr>
          <w:t>5.2.4</w:t>
        </w:r>
        <w:r w:rsidR="005E0D75">
          <w:rPr>
            <w:rFonts w:asciiTheme="minorHAnsi" w:eastAsiaTheme="minorEastAsia" w:hAnsiTheme="minorHAnsi" w:cstheme="minorBidi"/>
            <w:noProof/>
            <w:sz w:val="22"/>
            <w:szCs w:val="22"/>
          </w:rPr>
          <w:tab/>
        </w:r>
        <w:r w:rsidR="005E0D75" w:rsidRPr="005B381C">
          <w:rPr>
            <w:rStyle w:val="Hypertextovodkaz"/>
            <w:noProof/>
          </w:rPr>
          <w:t>Metoda podílu na zisku</w:t>
        </w:r>
        <w:r w:rsidR="005E0D75">
          <w:rPr>
            <w:noProof/>
            <w:webHidden/>
          </w:rPr>
          <w:tab/>
        </w:r>
        <w:r>
          <w:rPr>
            <w:noProof/>
            <w:webHidden/>
          </w:rPr>
          <w:fldChar w:fldCharType="begin"/>
        </w:r>
        <w:r w:rsidR="005E0D75">
          <w:rPr>
            <w:noProof/>
            <w:webHidden/>
          </w:rPr>
          <w:instrText xml:space="preserve"> PAGEREF _Toc301173573 \h </w:instrText>
        </w:r>
        <w:r>
          <w:rPr>
            <w:noProof/>
            <w:webHidden/>
          </w:rPr>
        </w:r>
        <w:r>
          <w:rPr>
            <w:noProof/>
            <w:webHidden/>
          </w:rPr>
          <w:fldChar w:fldCharType="separate"/>
        </w:r>
        <w:r w:rsidR="005E0D75">
          <w:rPr>
            <w:noProof/>
            <w:webHidden/>
          </w:rPr>
          <w:t>10</w:t>
        </w:r>
        <w:r>
          <w:rPr>
            <w:noProof/>
            <w:webHidden/>
          </w:rPr>
          <w:fldChar w:fldCharType="end"/>
        </w:r>
      </w:hyperlink>
    </w:p>
    <w:p w:rsidR="005E0D75" w:rsidRDefault="00D0230F">
      <w:pPr>
        <w:pStyle w:val="Obsah3"/>
        <w:tabs>
          <w:tab w:val="left" w:pos="1320"/>
          <w:tab w:val="right" w:leader="dot" w:pos="9062"/>
        </w:tabs>
        <w:rPr>
          <w:rFonts w:asciiTheme="minorHAnsi" w:eastAsiaTheme="minorEastAsia" w:hAnsiTheme="minorHAnsi" w:cstheme="minorBidi"/>
          <w:noProof/>
          <w:sz w:val="22"/>
          <w:szCs w:val="22"/>
        </w:rPr>
      </w:pPr>
      <w:hyperlink w:anchor="_Toc301173574" w:history="1">
        <w:r w:rsidR="005E0D75" w:rsidRPr="005B381C">
          <w:rPr>
            <w:rStyle w:val="Hypertextovodkaz"/>
            <w:noProof/>
          </w:rPr>
          <w:t>5.2.5</w:t>
        </w:r>
        <w:r w:rsidR="005E0D75">
          <w:rPr>
            <w:rFonts w:asciiTheme="minorHAnsi" w:eastAsiaTheme="minorEastAsia" w:hAnsiTheme="minorHAnsi" w:cstheme="minorBidi"/>
            <w:noProof/>
            <w:sz w:val="22"/>
            <w:szCs w:val="22"/>
          </w:rPr>
          <w:tab/>
        </w:r>
        <w:r w:rsidR="005E0D75" w:rsidRPr="005B381C">
          <w:rPr>
            <w:rStyle w:val="Hypertextovodkaz"/>
            <w:noProof/>
          </w:rPr>
          <w:t>Metoda čisté současné hodnoty</w:t>
        </w:r>
        <w:r w:rsidR="005E0D75">
          <w:rPr>
            <w:noProof/>
            <w:webHidden/>
          </w:rPr>
          <w:tab/>
        </w:r>
        <w:r>
          <w:rPr>
            <w:noProof/>
            <w:webHidden/>
          </w:rPr>
          <w:fldChar w:fldCharType="begin"/>
        </w:r>
        <w:r w:rsidR="005E0D75">
          <w:rPr>
            <w:noProof/>
            <w:webHidden/>
          </w:rPr>
          <w:instrText xml:space="preserve"> PAGEREF _Toc301173574 \h </w:instrText>
        </w:r>
        <w:r>
          <w:rPr>
            <w:noProof/>
            <w:webHidden/>
          </w:rPr>
        </w:r>
        <w:r>
          <w:rPr>
            <w:noProof/>
            <w:webHidden/>
          </w:rPr>
          <w:fldChar w:fldCharType="separate"/>
        </w:r>
        <w:r w:rsidR="005E0D75">
          <w:rPr>
            <w:noProof/>
            <w:webHidden/>
          </w:rPr>
          <w:t>11</w:t>
        </w:r>
        <w:r>
          <w:rPr>
            <w:noProof/>
            <w:webHidden/>
          </w:rPr>
          <w:fldChar w:fldCharType="end"/>
        </w:r>
      </w:hyperlink>
    </w:p>
    <w:p w:rsidR="005E0D75" w:rsidRDefault="00D0230F">
      <w:pPr>
        <w:pStyle w:val="Obsah2"/>
        <w:rPr>
          <w:rFonts w:asciiTheme="minorHAnsi" w:eastAsiaTheme="minorEastAsia" w:hAnsiTheme="minorHAnsi" w:cstheme="minorBidi"/>
          <w:i w:val="0"/>
          <w:noProof/>
          <w:sz w:val="22"/>
          <w:szCs w:val="22"/>
        </w:rPr>
      </w:pPr>
      <w:hyperlink w:anchor="_Toc301173575" w:history="1">
        <w:r w:rsidR="005E0D75" w:rsidRPr="005B381C">
          <w:rPr>
            <w:rStyle w:val="Hypertextovodkaz"/>
            <w:noProof/>
          </w:rPr>
          <w:t>5.3</w:t>
        </w:r>
        <w:r w:rsidR="005E0D75">
          <w:rPr>
            <w:rFonts w:asciiTheme="minorHAnsi" w:eastAsiaTheme="minorEastAsia" w:hAnsiTheme="minorHAnsi" w:cstheme="minorBidi"/>
            <w:i w:val="0"/>
            <w:noProof/>
            <w:sz w:val="22"/>
            <w:szCs w:val="22"/>
          </w:rPr>
          <w:tab/>
        </w:r>
        <w:r w:rsidR="005E0D75" w:rsidRPr="005B381C">
          <w:rPr>
            <w:rStyle w:val="Hypertextovodkaz"/>
            <w:noProof/>
          </w:rPr>
          <w:t>Nákladový přístup</w:t>
        </w:r>
        <w:r w:rsidR="005E0D75">
          <w:rPr>
            <w:noProof/>
            <w:webHidden/>
          </w:rPr>
          <w:tab/>
        </w:r>
        <w:r>
          <w:rPr>
            <w:noProof/>
            <w:webHidden/>
          </w:rPr>
          <w:fldChar w:fldCharType="begin"/>
        </w:r>
        <w:r w:rsidR="005E0D75">
          <w:rPr>
            <w:noProof/>
            <w:webHidden/>
          </w:rPr>
          <w:instrText xml:space="preserve"> PAGEREF _Toc301173575 \h </w:instrText>
        </w:r>
        <w:r>
          <w:rPr>
            <w:noProof/>
            <w:webHidden/>
          </w:rPr>
        </w:r>
        <w:r>
          <w:rPr>
            <w:noProof/>
            <w:webHidden/>
          </w:rPr>
          <w:fldChar w:fldCharType="separate"/>
        </w:r>
        <w:r w:rsidR="005E0D75">
          <w:rPr>
            <w:noProof/>
            <w:webHidden/>
          </w:rPr>
          <w:t>11</w:t>
        </w:r>
        <w:r>
          <w:rPr>
            <w:noProof/>
            <w:webHidden/>
          </w:rPr>
          <w:fldChar w:fldCharType="end"/>
        </w:r>
      </w:hyperlink>
    </w:p>
    <w:p w:rsidR="005E0D75" w:rsidRDefault="00D0230F">
      <w:pPr>
        <w:pStyle w:val="Obsah1"/>
        <w:rPr>
          <w:rFonts w:asciiTheme="minorHAnsi" w:eastAsiaTheme="minorEastAsia" w:hAnsiTheme="minorHAnsi" w:cstheme="minorBidi"/>
          <w:noProof/>
          <w:sz w:val="22"/>
          <w:szCs w:val="22"/>
        </w:rPr>
      </w:pPr>
      <w:hyperlink w:anchor="_Toc301173576" w:history="1">
        <w:r w:rsidR="005E0D75" w:rsidRPr="005B381C">
          <w:rPr>
            <w:rStyle w:val="Hypertextovodkaz"/>
            <w:noProof/>
          </w:rPr>
          <w:t>6</w:t>
        </w:r>
        <w:r w:rsidR="005E0D75">
          <w:rPr>
            <w:rFonts w:asciiTheme="minorHAnsi" w:eastAsiaTheme="minorEastAsia" w:hAnsiTheme="minorHAnsi" w:cstheme="minorBidi"/>
            <w:noProof/>
            <w:sz w:val="22"/>
            <w:szCs w:val="22"/>
          </w:rPr>
          <w:tab/>
        </w:r>
        <w:r w:rsidR="005E0D75" w:rsidRPr="005B381C">
          <w:rPr>
            <w:rStyle w:val="Hypertextovodkaz"/>
            <w:noProof/>
          </w:rPr>
          <w:t>Souhrnné ocenění</w:t>
        </w:r>
        <w:r w:rsidR="005E0D75">
          <w:rPr>
            <w:noProof/>
            <w:webHidden/>
          </w:rPr>
          <w:tab/>
        </w:r>
        <w:r>
          <w:rPr>
            <w:noProof/>
            <w:webHidden/>
          </w:rPr>
          <w:fldChar w:fldCharType="begin"/>
        </w:r>
        <w:r w:rsidR="005E0D75">
          <w:rPr>
            <w:noProof/>
            <w:webHidden/>
          </w:rPr>
          <w:instrText xml:space="preserve"> PAGEREF _Toc301173576 \h </w:instrText>
        </w:r>
        <w:r>
          <w:rPr>
            <w:noProof/>
            <w:webHidden/>
          </w:rPr>
        </w:r>
        <w:r>
          <w:rPr>
            <w:noProof/>
            <w:webHidden/>
          </w:rPr>
          <w:fldChar w:fldCharType="separate"/>
        </w:r>
        <w:r w:rsidR="005E0D75">
          <w:rPr>
            <w:noProof/>
            <w:webHidden/>
          </w:rPr>
          <w:t>12</w:t>
        </w:r>
        <w:r>
          <w:rPr>
            <w:noProof/>
            <w:webHidden/>
          </w:rPr>
          <w:fldChar w:fldCharType="end"/>
        </w:r>
      </w:hyperlink>
    </w:p>
    <w:p w:rsidR="005E0D75" w:rsidRDefault="00D0230F">
      <w:pPr>
        <w:pStyle w:val="Obsah1"/>
        <w:rPr>
          <w:rFonts w:asciiTheme="minorHAnsi" w:eastAsiaTheme="minorEastAsia" w:hAnsiTheme="minorHAnsi" w:cstheme="minorBidi"/>
          <w:noProof/>
          <w:sz w:val="22"/>
          <w:szCs w:val="22"/>
        </w:rPr>
      </w:pPr>
      <w:hyperlink w:anchor="_Toc301173577" w:history="1">
        <w:r w:rsidR="005E0D75" w:rsidRPr="005B381C">
          <w:rPr>
            <w:rStyle w:val="Hypertextovodkaz"/>
            <w:noProof/>
          </w:rPr>
          <w:t>7</w:t>
        </w:r>
        <w:r w:rsidR="005E0D75">
          <w:rPr>
            <w:rFonts w:asciiTheme="minorHAnsi" w:eastAsiaTheme="minorEastAsia" w:hAnsiTheme="minorHAnsi" w:cstheme="minorBidi"/>
            <w:noProof/>
            <w:sz w:val="22"/>
            <w:szCs w:val="22"/>
          </w:rPr>
          <w:tab/>
        </w:r>
        <w:r w:rsidR="005E0D75" w:rsidRPr="005B381C">
          <w:rPr>
            <w:rStyle w:val="Hypertextovodkaz"/>
            <w:noProof/>
          </w:rPr>
          <w:t>Literatura</w:t>
        </w:r>
        <w:r w:rsidR="005E0D75">
          <w:rPr>
            <w:noProof/>
            <w:webHidden/>
          </w:rPr>
          <w:tab/>
        </w:r>
        <w:r>
          <w:rPr>
            <w:noProof/>
            <w:webHidden/>
          </w:rPr>
          <w:fldChar w:fldCharType="begin"/>
        </w:r>
        <w:r w:rsidR="005E0D75">
          <w:rPr>
            <w:noProof/>
            <w:webHidden/>
          </w:rPr>
          <w:instrText xml:space="preserve"> PAGEREF _Toc301173577 \h </w:instrText>
        </w:r>
        <w:r>
          <w:rPr>
            <w:noProof/>
            <w:webHidden/>
          </w:rPr>
        </w:r>
        <w:r>
          <w:rPr>
            <w:noProof/>
            <w:webHidden/>
          </w:rPr>
          <w:fldChar w:fldCharType="separate"/>
        </w:r>
        <w:r w:rsidR="005E0D75">
          <w:rPr>
            <w:noProof/>
            <w:webHidden/>
          </w:rPr>
          <w:t>12</w:t>
        </w:r>
        <w:r>
          <w:rPr>
            <w:noProof/>
            <w:webHidden/>
          </w:rPr>
          <w:fldChar w:fldCharType="end"/>
        </w:r>
      </w:hyperlink>
    </w:p>
    <w:p w:rsidR="00096F48" w:rsidRPr="005E0D75" w:rsidRDefault="00D0230F" w:rsidP="0097771B">
      <w:pPr>
        <w:jc w:val="center"/>
        <w:rPr>
          <w:b/>
          <w:bCs/>
          <w:sz w:val="28"/>
          <w:szCs w:val="28"/>
        </w:rPr>
      </w:pPr>
      <w:r w:rsidRPr="005E0D75">
        <w:fldChar w:fldCharType="end"/>
      </w:r>
    </w:p>
    <w:p w:rsidR="00337D90" w:rsidRPr="005E0D75" w:rsidRDefault="007F2F19" w:rsidP="00265A29">
      <w:pPr>
        <w:pStyle w:val="Nadpis1"/>
      </w:pPr>
      <w:bookmarkStart w:id="0" w:name="_Toc301173563"/>
      <w:r w:rsidRPr="005E0D75">
        <w:t>Cíle</w:t>
      </w:r>
      <w:r w:rsidR="00337D90" w:rsidRPr="005E0D75">
        <w:t xml:space="preserve"> </w:t>
      </w:r>
      <w:r w:rsidR="00797A27" w:rsidRPr="005E0D75">
        <w:t>směrnice</w:t>
      </w:r>
      <w:bookmarkEnd w:id="0"/>
    </w:p>
    <w:p w:rsidR="00DC4D5D" w:rsidRPr="005E0D75" w:rsidRDefault="00797A27" w:rsidP="00120F17">
      <w:pPr>
        <w:numPr>
          <w:ilvl w:val="0"/>
          <w:numId w:val="10"/>
        </w:numPr>
      </w:pPr>
      <w:r w:rsidRPr="005E0D75">
        <w:t>Tato</w:t>
      </w:r>
      <w:r w:rsidR="00EF7F29" w:rsidRPr="005E0D75">
        <w:t xml:space="preserve"> </w:t>
      </w:r>
      <w:r w:rsidRPr="005E0D75">
        <w:t xml:space="preserve">směrnice </w:t>
      </w:r>
      <w:r w:rsidR="00870292" w:rsidRPr="005E0D75">
        <w:t>vymezuje</w:t>
      </w:r>
      <w:r w:rsidR="00FE6E62" w:rsidRPr="005E0D75">
        <w:t xml:space="preserve"> </w:t>
      </w:r>
      <w:r w:rsidRPr="005E0D75">
        <w:t xml:space="preserve">obecné </w:t>
      </w:r>
      <w:r w:rsidR="00FE6E62" w:rsidRPr="005E0D75">
        <w:t>principy</w:t>
      </w:r>
      <w:r w:rsidR="00DC4D5D" w:rsidRPr="005E0D75">
        <w:t xml:space="preserve"> </w:t>
      </w:r>
      <w:r w:rsidR="00870292" w:rsidRPr="005E0D75">
        <w:t xml:space="preserve">a podává </w:t>
      </w:r>
      <w:r w:rsidRPr="005E0D75">
        <w:t xml:space="preserve">určitá konkrétní </w:t>
      </w:r>
      <w:r w:rsidR="00870292" w:rsidRPr="005E0D75">
        <w:t xml:space="preserve">doporučení v oblasti </w:t>
      </w:r>
      <w:r w:rsidRPr="005E0D75">
        <w:t>oceňování</w:t>
      </w:r>
      <w:r w:rsidR="00DC4D5D" w:rsidRPr="005E0D75">
        <w:t xml:space="preserve"> </w:t>
      </w:r>
      <w:r w:rsidR="00217F21" w:rsidRPr="005E0D75">
        <w:t>nehmotn</w:t>
      </w:r>
      <w:r w:rsidR="00FE6E62" w:rsidRPr="005E0D75">
        <w:t>ých</w:t>
      </w:r>
      <w:r w:rsidR="00217F21" w:rsidRPr="005E0D75">
        <w:t xml:space="preserve"> aktiv</w:t>
      </w:r>
      <w:r w:rsidR="00DC4D5D" w:rsidRPr="005E0D75">
        <w:t xml:space="preserve"> </w:t>
      </w:r>
      <w:r w:rsidRPr="005E0D75">
        <w:t>v podmínkách</w:t>
      </w:r>
      <w:r w:rsidR="00B84547" w:rsidRPr="005E0D75">
        <w:t xml:space="preserve"> České republiky</w:t>
      </w:r>
      <w:r w:rsidRPr="005E0D75">
        <w:t>. Je koncipována tak</w:t>
      </w:r>
      <w:r w:rsidR="006E6996" w:rsidRPr="005E0D75">
        <w:t xml:space="preserve">, aby odpovídala na </w:t>
      </w:r>
      <w:r w:rsidR="00B84547" w:rsidRPr="005E0D75">
        <w:t xml:space="preserve">potřeby </w:t>
      </w:r>
      <w:r w:rsidR="006E6996" w:rsidRPr="005E0D75">
        <w:t xml:space="preserve">oceňování nehmotných aktiv podle </w:t>
      </w:r>
      <w:r w:rsidR="00B84547" w:rsidRPr="005E0D75">
        <w:t>národních předpisů</w:t>
      </w:r>
      <w:r w:rsidR="006E6996" w:rsidRPr="005E0D75">
        <w:t xml:space="preserve"> (zejména účetní předpisy, daňové předpisy a obchodní právo) a byly zároveň v souladu s hlavními nadnárodními závaznými či doporučujícími pravid</w:t>
      </w:r>
      <w:r w:rsidR="00B84547" w:rsidRPr="005E0D75">
        <w:t>l</w:t>
      </w:r>
      <w:r w:rsidR="006E6996" w:rsidRPr="005E0D75">
        <w:t>y</w:t>
      </w:r>
      <w:r w:rsidR="00B84547" w:rsidRPr="005E0D75">
        <w:t>, které mají vztah k oceňování nehmotných aktiv</w:t>
      </w:r>
      <w:r w:rsidR="006E6996" w:rsidRPr="005E0D75">
        <w:t xml:space="preserve"> (např. IFRS</w:t>
      </w:r>
      <w:r w:rsidR="006E6996" w:rsidRPr="005E0D75">
        <w:rPr>
          <w:rStyle w:val="Znakapoznpodarou"/>
        </w:rPr>
        <w:footnoteReference w:id="1"/>
      </w:r>
      <w:r w:rsidR="006E6996" w:rsidRPr="005E0D75">
        <w:t>, metodika OECD</w:t>
      </w:r>
      <w:r w:rsidR="006E6996" w:rsidRPr="005E0D75">
        <w:rPr>
          <w:rStyle w:val="Znakapoznpodarou"/>
        </w:rPr>
        <w:footnoteReference w:id="2"/>
      </w:r>
      <w:r w:rsidR="006E6996" w:rsidRPr="005E0D75">
        <w:t>)</w:t>
      </w:r>
      <w:r w:rsidR="00B84547" w:rsidRPr="005E0D75">
        <w:t>.</w:t>
      </w:r>
    </w:p>
    <w:p w:rsidR="00806F34" w:rsidRPr="005E0D75" w:rsidRDefault="00806F34" w:rsidP="00120F17">
      <w:pPr>
        <w:numPr>
          <w:ilvl w:val="0"/>
          <w:numId w:val="10"/>
        </w:numPr>
      </w:pPr>
      <w:r w:rsidRPr="005E0D75">
        <w:t xml:space="preserve">Principy oceňování nehmotných aktiv popsaných v této směrnici vycházejí z mezinárodně uznávaných zásad, zakotvených v mezinárodních standardech, odborné literatuře v oblasti oceňování a zkušeností </w:t>
      </w:r>
      <w:r w:rsidR="00B62D04" w:rsidRPr="005E0D75">
        <w:t xml:space="preserve">autorů </w:t>
      </w:r>
      <w:r w:rsidRPr="005E0D75">
        <w:t>s oceňováním nehmotných aktiv v podmínkách ČR.</w:t>
      </w:r>
    </w:p>
    <w:p w:rsidR="00806F34" w:rsidRPr="005E0D75" w:rsidRDefault="00806F34" w:rsidP="00120F17">
      <w:pPr>
        <w:numPr>
          <w:ilvl w:val="0"/>
          <w:numId w:val="10"/>
        </w:numPr>
      </w:pPr>
      <w:r w:rsidRPr="005E0D75">
        <w:t>Oceňování nehmotných aktiv je v našich podmínkách vyžadováno zejména v následujících situacích:</w:t>
      </w:r>
    </w:p>
    <w:p w:rsidR="00806F34" w:rsidRPr="005E0D75" w:rsidRDefault="00806F34" w:rsidP="00120F17">
      <w:pPr>
        <w:numPr>
          <w:ilvl w:val="1"/>
          <w:numId w:val="11"/>
        </w:numPr>
        <w:tabs>
          <w:tab w:val="clear" w:pos="1440"/>
          <w:tab w:val="num" w:pos="720"/>
        </w:tabs>
        <w:ind w:left="720"/>
      </w:pPr>
      <w:r w:rsidRPr="005E0D75">
        <w:t>nákup/prodej/licence mezi nespřízněnými osobami,</w:t>
      </w:r>
    </w:p>
    <w:p w:rsidR="00806F34" w:rsidRPr="005E0D75" w:rsidRDefault="00806F34" w:rsidP="00120F17">
      <w:pPr>
        <w:numPr>
          <w:ilvl w:val="1"/>
          <w:numId w:val="11"/>
        </w:numPr>
        <w:tabs>
          <w:tab w:val="clear" w:pos="1440"/>
          <w:tab w:val="num" w:pos="720"/>
        </w:tabs>
        <w:ind w:left="720"/>
      </w:pPr>
      <w:r w:rsidRPr="005E0D75">
        <w:t>nákup/prodej/licence mezi spřízněnými osobami,</w:t>
      </w:r>
      <w:r w:rsidR="00742869" w:rsidRPr="005E0D75">
        <w:rPr>
          <w:rStyle w:val="Znakapoznpodarou"/>
        </w:rPr>
        <w:footnoteReference w:id="3"/>
      </w:r>
    </w:p>
    <w:p w:rsidR="00742869" w:rsidRPr="005E0D75" w:rsidRDefault="00742869" w:rsidP="00120F17">
      <w:pPr>
        <w:numPr>
          <w:ilvl w:val="1"/>
          <w:numId w:val="11"/>
        </w:numPr>
        <w:tabs>
          <w:tab w:val="clear" w:pos="1440"/>
          <w:tab w:val="num" w:pos="720"/>
        </w:tabs>
        <w:ind w:left="720"/>
      </w:pPr>
      <w:r w:rsidRPr="005E0D75">
        <w:t>nepeněžité vklady do obchodních společností,</w:t>
      </w:r>
    </w:p>
    <w:p w:rsidR="00806F34" w:rsidRPr="005E0D75" w:rsidRDefault="00161FC1" w:rsidP="00120F17">
      <w:pPr>
        <w:numPr>
          <w:ilvl w:val="1"/>
          <w:numId w:val="11"/>
        </w:numPr>
        <w:tabs>
          <w:tab w:val="clear" w:pos="1440"/>
          <w:tab w:val="num" w:pos="720"/>
        </w:tabs>
        <w:ind w:left="720"/>
      </w:pPr>
      <w:r w:rsidRPr="005E0D75">
        <w:t>právní přeměny společností podle českého obchodního práva,</w:t>
      </w:r>
      <w:r w:rsidRPr="005E0D75">
        <w:rPr>
          <w:rStyle w:val="Znakapoznpodarou"/>
        </w:rPr>
        <w:footnoteReference w:id="4"/>
      </w:r>
    </w:p>
    <w:p w:rsidR="00161FC1" w:rsidRPr="005E0D75" w:rsidRDefault="00B62D04" w:rsidP="00120F17">
      <w:pPr>
        <w:numPr>
          <w:ilvl w:val="1"/>
          <w:numId w:val="11"/>
        </w:numPr>
        <w:tabs>
          <w:tab w:val="clear" w:pos="1440"/>
          <w:tab w:val="num" w:pos="720"/>
        </w:tabs>
        <w:ind w:left="720"/>
      </w:pPr>
      <w:r w:rsidRPr="005E0D75">
        <w:t>právní přeměny (</w:t>
      </w:r>
      <w:r w:rsidR="00161FC1" w:rsidRPr="005E0D75">
        <w:t>podnikové kombinace</w:t>
      </w:r>
      <w:r w:rsidRPr="005E0D75">
        <w:t>)</w:t>
      </w:r>
      <w:r w:rsidR="00161FC1" w:rsidRPr="005E0D75">
        <w:t xml:space="preserve"> dle IFRS,</w:t>
      </w:r>
      <w:r w:rsidR="00161FC1" w:rsidRPr="005E0D75">
        <w:rPr>
          <w:rStyle w:val="Znakapoznpodarou"/>
        </w:rPr>
        <w:footnoteReference w:id="5"/>
      </w:r>
    </w:p>
    <w:p w:rsidR="00161FC1" w:rsidRPr="005E0D75" w:rsidRDefault="00161FC1" w:rsidP="00120F17">
      <w:pPr>
        <w:numPr>
          <w:ilvl w:val="1"/>
          <w:numId w:val="11"/>
        </w:numPr>
        <w:tabs>
          <w:tab w:val="clear" w:pos="1440"/>
          <w:tab w:val="num" w:pos="720"/>
        </w:tabs>
        <w:ind w:left="720"/>
      </w:pPr>
      <w:r w:rsidRPr="005E0D75">
        <w:lastRenderedPageBreak/>
        <w:t>likvidace a insolvence podniku,</w:t>
      </w:r>
    </w:p>
    <w:p w:rsidR="00161FC1" w:rsidRPr="005E0D75" w:rsidRDefault="00742869" w:rsidP="00120F17">
      <w:pPr>
        <w:numPr>
          <w:ilvl w:val="1"/>
          <w:numId w:val="11"/>
        </w:numPr>
        <w:tabs>
          <w:tab w:val="clear" w:pos="1440"/>
          <w:tab w:val="num" w:pos="720"/>
        </w:tabs>
        <w:ind w:left="720"/>
      </w:pPr>
      <w:r w:rsidRPr="005E0D75">
        <w:t>majetkové ocenění podniku,</w:t>
      </w:r>
      <w:r w:rsidRPr="005E0D75">
        <w:rPr>
          <w:rStyle w:val="Znakapoznpodarou"/>
        </w:rPr>
        <w:footnoteReference w:id="6"/>
      </w:r>
    </w:p>
    <w:p w:rsidR="00742869" w:rsidRPr="005E0D75" w:rsidRDefault="00742869" w:rsidP="00120F17">
      <w:pPr>
        <w:numPr>
          <w:ilvl w:val="1"/>
          <w:numId w:val="11"/>
        </w:numPr>
        <w:tabs>
          <w:tab w:val="clear" w:pos="1440"/>
          <w:tab w:val="num" w:pos="720"/>
        </w:tabs>
        <w:ind w:left="720"/>
      </w:pPr>
      <w:r w:rsidRPr="005E0D75">
        <w:t>vyčíslení škody z neoprávněného užití nehmotných aktiv,</w:t>
      </w:r>
      <w:r w:rsidRPr="005E0D75">
        <w:rPr>
          <w:rStyle w:val="Znakapoznpodarou"/>
        </w:rPr>
        <w:footnoteReference w:id="7"/>
      </w:r>
    </w:p>
    <w:p w:rsidR="00742869" w:rsidRPr="005E0D75" w:rsidRDefault="00742869" w:rsidP="00120F17">
      <w:pPr>
        <w:numPr>
          <w:ilvl w:val="1"/>
          <w:numId w:val="11"/>
        </w:numPr>
        <w:tabs>
          <w:tab w:val="clear" w:pos="1440"/>
          <w:tab w:val="num" w:pos="720"/>
        </w:tabs>
        <w:ind w:left="720"/>
      </w:pPr>
      <w:r w:rsidRPr="005E0D75">
        <w:t>jiné účetní a daňové účely.</w:t>
      </w:r>
    </w:p>
    <w:p w:rsidR="004802F7" w:rsidRPr="005E0D75" w:rsidRDefault="004802F7" w:rsidP="004802F7">
      <w:pPr>
        <w:numPr>
          <w:ilvl w:val="0"/>
          <w:numId w:val="11"/>
        </w:numPr>
      </w:pPr>
      <w:r w:rsidRPr="005E0D75">
        <w:rPr>
          <w:b/>
        </w:rPr>
        <w:t>Soulad s jinými standardy</w:t>
      </w:r>
      <w:r w:rsidRPr="005E0D75">
        <w:t>. Tu směrnici je třeba užívat v souladu se standardem pro oceňování podniku. Tento standard se nezabývá principy analýzy trhu, sestavování finančního plánu, analýze finančního zdraví či odhadu výše diskontních měr.</w:t>
      </w:r>
    </w:p>
    <w:p w:rsidR="00FE6E62" w:rsidRPr="005E0D75" w:rsidRDefault="00FE6E62" w:rsidP="00FE6E62">
      <w:pPr>
        <w:pStyle w:val="Nadpis1"/>
      </w:pPr>
      <w:bookmarkStart w:id="1" w:name="_Toc301173564"/>
      <w:r w:rsidRPr="005E0D75">
        <w:t>Základní pojmy</w:t>
      </w:r>
      <w:bookmarkEnd w:id="1"/>
    </w:p>
    <w:p w:rsidR="00742869" w:rsidRPr="005E0D75" w:rsidRDefault="00870292" w:rsidP="00120F17">
      <w:pPr>
        <w:numPr>
          <w:ilvl w:val="0"/>
          <w:numId w:val="10"/>
        </w:numPr>
        <w:tabs>
          <w:tab w:val="num" w:pos="720"/>
        </w:tabs>
        <w:rPr>
          <w:rFonts w:ascii="Arial" w:hAnsi="Arial" w:cs="Arial"/>
          <w:b/>
          <w:bCs/>
          <w:kern w:val="32"/>
          <w:szCs w:val="32"/>
        </w:rPr>
      </w:pPr>
      <w:r w:rsidRPr="005E0D75">
        <w:rPr>
          <w:b/>
          <w:bCs/>
        </w:rPr>
        <w:t>Nehmotné aktivum</w:t>
      </w:r>
      <w:r w:rsidR="00B84547" w:rsidRPr="005E0D75">
        <w:rPr>
          <w:b/>
          <w:bCs/>
        </w:rPr>
        <w:t>.</w:t>
      </w:r>
      <w:r w:rsidRPr="005E0D75">
        <w:t xml:space="preserve"> </w:t>
      </w:r>
      <w:r w:rsidR="00742869" w:rsidRPr="005E0D75">
        <w:t xml:space="preserve">Je nepeněžním aktivem, které má nehmotnou povahu a je identifikovatelné. Identifikovatelným </w:t>
      </w:r>
      <w:r w:rsidR="0079505D" w:rsidRPr="005E0D75">
        <w:t>nehmotným aktivem</w:t>
      </w:r>
      <w:r w:rsidR="00C959EE" w:rsidRPr="005E0D75">
        <w:rPr>
          <w:rStyle w:val="Znakapoznpodarou"/>
        </w:rPr>
        <w:footnoteReference w:id="8"/>
      </w:r>
      <w:r w:rsidR="0079505D" w:rsidRPr="005E0D75">
        <w:t xml:space="preserve"> </w:t>
      </w:r>
      <w:r w:rsidR="00742869" w:rsidRPr="005E0D75">
        <w:t>je takové aktivum, které:</w:t>
      </w:r>
    </w:p>
    <w:p w:rsidR="006B4956" w:rsidRPr="005E0D75" w:rsidRDefault="006B4956" w:rsidP="00120F17">
      <w:pPr>
        <w:numPr>
          <w:ilvl w:val="1"/>
          <w:numId w:val="11"/>
        </w:numPr>
        <w:tabs>
          <w:tab w:val="clear" w:pos="1440"/>
          <w:tab w:val="num" w:pos="720"/>
        </w:tabs>
        <w:ind w:left="720"/>
      </w:pPr>
      <w:r w:rsidRPr="005E0D75">
        <w:t>je oddělit</w:t>
      </w:r>
      <w:r w:rsidR="002D1D48" w:rsidRPr="005E0D75">
        <w:t>elné</w:t>
      </w:r>
      <w:r w:rsidRPr="005E0D75">
        <w:t xml:space="preserve"> od podniku</w:t>
      </w:r>
      <w:r w:rsidR="0079505D" w:rsidRPr="005E0D75">
        <w:t>;</w:t>
      </w:r>
      <w:r w:rsidR="002D1D48" w:rsidRPr="005E0D75">
        <w:t xml:space="preserve"> lze</w:t>
      </w:r>
      <w:r w:rsidRPr="005E0D75">
        <w:t xml:space="preserve"> jej </w:t>
      </w:r>
      <w:r w:rsidR="002D1D48" w:rsidRPr="005E0D75">
        <w:t xml:space="preserve">tedy </w:t>
      </w:r>
      <w:r w:rsidRPr="005E0D75">
        <w:t>prodat, pronajmout či jinak směnit, ať už samostatně, nebo s jiným hmotnými či n</w:t>
      </w:r>
      <w:r w:rsidR="002D1D48" w:rsidRPr="005E0D75">
        <w:t>ehmotným statkem nebo závazkem (např. ochranná známka, doménové jméno, patent, obchodní tajemství); nebo</w:t>
      </w:r>
    </w:p>
    <w:p w:rsidR="006B4956" w:rsidRPr="005E0D75" w:rsidRDefault="006B4956" w:rsidP="00120F17">
      <w:pPr>
        <w:numPr>
          <w:ilvl w:val="1"/>
          <w:numId w:val="11"/>
        </w:numPr>
        <w:tabs>
          <w:tab w:val="clear" w:pos="1440"/>
          <w:tab w:val="num" w:pos="720"/>
        </w:tabs>
        <w:ind w:left="720"/>
      </w:pPr>
      <w:r w:rsidRPr="005E0D75">
        <w:t xml:space="preserve">je užíváno na základě smluvních či jiných práv, byť tato práva nejsou samostatně převoditelná (např. </w:t>
      </w:r>
      <w:r w:rsidR="002D1D48" w:rsidRPr="005E0D75">
        <w:t xml:space="preserve">výhodná nájemní </w:t>
      </w:r>
      <w:r w:rsidRPr="005E0D75">
        <w:t>smlouv</w:t>
      </w:r>
      <w:r w:rsidR="002D1D48" w:rsidRPr="005E0D75">
        <w:t>a, obchodní jméno, zeměpisné označení výrobku</w:t>
      </w:r>
      <w:r w:rsidR="009E67D6" w:rsidRPr="005E0D75">
        <w:t>, vztahy se zákazníky</w:t>
      </w:r>
      <w:r w:rsidRPr="005E0D75">
        <w:t>);</w:t>
      </w:r>
    </w:p>
    <w:p w:rsidR="00C959EE" w:rsidRPr="005E0D75" w:rsidRDefault="00C959EE" w:rsidP="00120F17">
      <w:pPr>
        <w:numPr>
          <w:ilvl w:val="0"/>
          <w:numId w:val="10"/>
        </w:numPr>
        <w:rPr>
          <w:b/>
          <w:bCs/>
        </w:rPr>
      </w:pPr>
      <w:r w:rsidRPr="005E0D75">
        <w:rPr>
          <w:b/>
          <w:bCs/>
        </w:rPr>
        <w:t xml:space="preserve">Goodwill. </w:t>
      </w:r>
      <w:r w:rsidRPr="005E0D75">
        <w:rPr>
          <w:bCs/>
        </w:rPr>
        <w:t>V souvislosti s </w:t>
      </w:r>
      <w:r w:rsidR="00B05E19" w:rsidRPr="005E0D75">
        <w:rPr>
          <w:bCs/>
        </w:rPr>
        <w:t>účetním</w:t>
      </w:r>
      <w:r w:rsidRPr="005E0D75">
        <w:rPr>
          <w:bCs/>
        </w:rPr>
        <w:t xml:space="preserve"> výkaznictvím</w:t>
      </w:r>
      <w:r w:rsidR="00B05E19" w:rsidRPr="005E0D75">
        <w:rPr>
          <w:bCs/>
        </w:rPr>
        <w:t>, které ve většině případů užívá výsledky ocenění,</w:t>
      </w:r>
      <w:r w:rsidRPr="005E0D75">
        <w:rPr>
          <w:bCs/>
        </w:rPr>
        <w:t xml:space="preserve"> se goodwillem rozumí hodnota budoucího ekonomického prospěchu,</w:t>
      </w:r>
      <w:r w:rsidR="0062188B" w:rsidRPr="005E0D75">
        <w:rPr>
          <w:bCs/>
        </w:rPr>
        <w:t xml:space="preserve"> který není nehmotným aktivem ve smyslu podmínek identifikovatelnosti (např. výhoda umístění podniku, synergie z výhodného spojení s jiným podnikem, vybudovaná dobrá pověst podniku, zavedený pracovní kolektiv). </w:t>
      </w:r>
      <w:r w:rsidR="00B05E19" w:rsidRPr="005E0D75">
        <w:rPr>
          <w:bCs/>
        </w:rPr>
        <w:t>V účetním výkaznictví je goodwill vykazován jako jedna položka. Nemožnost identifikace individuálních nehmotných vlivů v rámci goodwillu ve smyslu účetního výkaznictví</w:t>
      </w:r>
      <w:r w:rsidR="0062188B" w:rsidRPr="005E0D75">
        <w:rPr>
          <w:bCs/>
        </w:rPr>
        <w:t xml:space="preserve"> </w:t>
      </w:r>
      <w:r w:rsidR="00B05E19" w:rsidRPr="005E0D75">
        <w:rPr>
          <w:bCs/>
        </w:rPr>
        <w:t>ovšem neznamená nemožnost jejich samostatného ocenění pro jiné účely</w:t>
      </w:r>
      <w:r w:rsidR="0062188B" w:rsidRPr="005E0D75">
        <w:rPr>
          <w:bCs/>
        </w:rPr>
        <w:t xml:space="preserve"> </w:t>
      </w:r>
      <w:r w:rsidR="00B05E19" w:rsidRPr="005E0D75">
        <w:rPr>
          <w:bCs/>
        </w:rPr>
        <w:t xml:space="preserve">(např. poškození dobré pověsti v důsledku nekalé soutěže, ocenění zavedeného pracovního kolektivu pro účely IFRS 3 nebo pro jiné investiční účely). Taková ocenění vyžadují zvláštní přístup a zkušenosti oceňovatele. </w:t>
      </w:r>
      <w:r w:rsidRPr="005E0D75">
        <w:rPr>
          <w:b/>
          <w:bCs/>
        </w:rPr>
        <w:t xml:space="preserve"> </w:t>
      </w:r>
    </w:p>
    <w:p w:rsidR="009E67D6" w:rsidRPr="005E0D75" w:rsidRDefault="009E67D6" w:rsidP="009E67D6">
      <w:pPr>
        <w:pStyle w:val="Nadpis1"/>
      </w:pPr>
      <w:bookmarkStart w:id="2" w:name="_Toc301173565"/>
      <w:r w:rsidRPr="005E0D75">
        <w:t>Typy nehmotných aktiv</w:t>
      </w:r>
      <w:bookmarkEnd w:id="2"/>
    </w:p>
    <w:p w:rsidR="006209AE" w:rsidRPr="005E0D75" w:rsidRDefault="009E67D6" w:rsidP="009E67D6">
      <w:pPr>
        <w:numPr>
          <w:ilvl w:val="0"/>
          <w:numId w:val="10"/>
        </w:numPr>
      </w:pPr>
      <w:r w:rsidRPr="005E0D75">
        <w:t>Nehmotná aktiva mohou vzniknout</w:t>
      </w:r>
      <w:r w:rsidR="008D60B3" w:rsidRPr="005E0D75">
        <w:t xml:space="preserve"> zejména následujícími způsoby</w:t>
      </w:r>
      <w:r w:rsidR="006209AE" w:rsidRPr="005E0D75">
        <w:t>:</w:t>
      </w:r>
    </w:p>
    <w:p w:rsidR="006209AE" w:rsidRPr="005E0D75" w:rsidRDefault="009E67D6" w:rsidP="006209AE">
      <w:pPr>
        <w:numPr>
          <w:ilvl w:val="1"/>
          <w:numId w:val="11"/>
        </w:numPr>
        <w:tabs>
          <w:tab w:val="clear" w:pos="1440"/>
          <w:tab w:val="num" w:pos="720"/>
        </w:tabs>
        <w:ind w:left="720"/>
      </w:pPr>
      <w:r w:rsidRPr="005E0D75">
        <w:t>získání</w:t>
      </w:r>
      <w:r w:rsidR="006209AE" w:rsidRPr="005E0D75">
        <w:t>m absolutních</w:t>
      </w:r>
      <w:r w:rsidRPr="005E0D75">
        <w:t xml:space="preserve"> práv k nehmotnému předmětu</w:t>
      </w:r>
      <w:r w:rsidR="006209AE" w:rsidRPr="005E0D75">
        <w:t>, která působí vůči všem dalším osobám</w:t>
      </w:r>
      <w:r w:rsidR="006209AE" w:rsidRPr="005E0D75">
        <w:rPr>
          <w:rStyle w:val="Znakapoznpodarou"/>
        </w:rPr>
        <w:footnoteReference w:id="9"/>
      </w:r>
      <w:r w:rsidRPr="005E0D75">
        <w:t xml:space="preserve"> (např. patent, ochrann</w:t>
      </w:r>
      <w:r w:rsidR="006209AE" w:rsidRPr="005E0D75">
        <w:t>á</w:t>
      </w:r>
      <w:r w:rsidRPr="005E0D75">
        <w:t xml:space="preserve"> známk</w:t>
      </w:r>
      <w:r w:rsidR="006209AE" w:rsidRPr="005E0D75">
        <w:t>a</w:t>
      </w:r>
      <w:r w:rsidR="008D60B3" w:rsidRPr="005E0D75">
        <w:t>, obchodní firma, literární dílo</w:t>
      </w:r>
      <w:r w:rsidR="005C34C8" w:rsidRPr="005E0D75">
        <w:t>, software, databáze</w:t>
      </w:r>
      <w:r w:rsidR="006209AE" w:rsidRPr="005E0D75">
        <w:t xml:space="preserve">), </w:t>
      </w:r>
    </w:p>
    <w:p w:rsidR="009E67D6" w:rsidRPr="005E0D75" w:rsidRDefault="006209AE" w:rsidP="006209AE">
      <w:pPr>
        <w:numPr>
          <w:ilvl w:val="1"/>
          <w:numId w:val="11"/>
        </w:numPr>
        <w:tabs>
          <w:tab w:val="clear" w:pos="1440"/>
          <w:tab w:val="num" w:pos="720"/>
        </w:tabs>
        <w:ind w:left="720"/>
      </w:pPr>
      <w:r w:rsidRPr="005E0D75">
        <w:t>na základě relativních smluvních práv, která zajišťují ekonomický prospěch ve vztahu ke smluvním stranám (např. výhodná smlouva</w:t>
      </w:r>
      <w:r w:rsidR="008D60B3" w:rsidRPr="005E0D75">
        <w:t xml:space="preserve"> v porovnání s běžnými tržními podmínkami</w:t>
      </w:r>
      <w:r w:rsidRPr="005E0D75">
        <w:t>),</w:t>
      </w:r>
    </w:p>
    <w:p w:rsidR="006209AE" w:rsidRPr="005E0D75" w:rsidRDefault="006209AE" w:rsidP="006209AE">
      <w:pPr>
        <w:numPr>
          <w:ilvl w:val="1"/>
          <w:numId w:val="11"/>
        </w:numPr>
        <w:tabs>
          <w:tab w:val="clear" w:pos="1440"/>
          <w:tab w:val="num" w:pos="720"/>
        </w:tabs>
        <w:ind w:left="720"/>
      </w:pPr>
      <w:r w:rsidRPr="005E0D75">
        <w:lastRenderedPageBreak/>
        <w:t>na základě nesmluvních práv, která umožňují ekonomický prospěch v důsledku vysoké pravděpodobnosti bez smluvního základu (např. nesmluvní zákaznické vztahy)</w:t>
      </w:r>
      <w:r w:rsidR="008D60B3" w:rsidRPr="005E0D75">
        <w:t>,</w:t>
      </w:r>
      <w:r w:rsidRPr="005E0D75">
        <w:rPr>
          <w:rStyle w:val="Znakapoznpodarou"/>
        </w:rPr>
        <w:footnoteReference w:id="10"/>
      </w:r>
    </w:p>
    <w:p w:rsidR="008D60B3" w:rsidRPr="005E0D75" w:rsidRDefault="008D60B3" w:rsidP="006209AE">
      <w:pPr>
        <w:numPr>
          <w:ilvl w:val="1"/>
          <w:numId w:val="11"/>
        </w:numPr>
        <w:tabs>
          <w:tab w:val="clear" w:pos="1440"/>
          <w:tab w:val="num" w:pos="720"/>
        </w:tabs>
        <w:ind w:left="720"/>
      </w:pPr>
      <w:r w:rsidRPr="005E0D75">
        <w:t>na základě jiných oprávnění, která zajišťují ekonomický prospěch (např. těžební licence, telekomunikační licence</w:t>
      </w:r>
      <w:r w:rsidR="005C34C8" w:rsidRPr="005E0D75">
        <w:t>, zeměpisné označení</w:t>
      </w:r>
      <w:r w:rsidRPr="005E0D75">
        <w:t xml:space="preserve">), </w:t>
      </w:r>
    </w:p>
    <w:p w:rsidR="008D60B3" w:rsidRPr="005E0D75" w:rsidRDefault="008D60B3" w:rsidP="006209AE">
      <w:pPr>
        <w:numPr>
          <w:ilvl w:val="1"/>
          <w:numId w:val="11"/>
        </w:numPr>
        <w:tabs>
          <w:tab w:val="clear" w:pos="1440"/>
          <w:tab w:val="num" w:pos="720"/>
        </w:tabs>
        <w:ind w:left="720"/>
      </w:pPr>
      <w:r w:rsidRPr="005E0D75">
        <w:t xml:space="preserve">dlouhodobým užíváním, které umožňuje ochranu pomocí obchodního </w:t>
      </w:r>
      <w:r w:rsidR="00B62D04" w:rsidRPr="005E0D75">
        <w:t xml:space="preserve">či průmyslového </w:t>
      </w:r>
      <w:r w:rsidRPr="005E0D75">
        <w:t>práva (např. nezapsané označení</w:t>
      </w:r>
      <w:r w:rsidR="00B62D04" w:rsidRPr="005E0D75">
        <w:t xml:space="preserve"> zboží</w:t>
      </w:r>
      <w:r w:rsidRPr="005E0D75">
        <w:t>),</w:t>
      </w:r>
    </w:p>
    <w:p w:rsidR="008D60B3" w:rsidRPr="005E0D75" w:rsidRDefault="008D60B3" w:rsidP="006209AE">
      <w:pPr>
        <w:numPr>
          <w:ilvl w:val="1"/>
          <w:numId w:val="11"/>
        </w:numPr>
        <w:tabs>
          <w:tab w:val="clear" w:pos="1440"/>
          <w:tab w:val="num" w:pos="720"/>
        </w:tabs>
        <w:ind w:left="720"/>
      </w:pPr>
      <w:r w:rsidRPr="005E0D75">
        <w:t xml:space="preserve">systematickým utajením ve smyslu obchodního práva </w:t>
      </w:r>
      <w:r w:rsidR="005C34C8" w:rsidRPr="005E0D75">
        <w:t>(</w:t>
      </w:r>
      <w:r w:rsidRPr="005E0D75">
        <w:t xml:space="preserve">obchodní tajemství). </w:t>
      </w:r>
    </w:p>
    <w:p w:rsidR="007F2F19" w:rsidRPr="005E0D75" w:rsidRDefault="007F2F19" w:rsidP="009E67D6">
      <w:pPr>
        <w:numPr>
          <w:ilvl w:val="0"/>
          <w:numId w:val="10"/>
        </w:numPr>
      </w:pPr>
      <w:r w:rsidRPr="005E0D75">
        <w:t>Podle funkce, které mají nehmotná aktiva, lze vymezit následující skupiny nehmotných aktiv:</w:t>
      </w:r>
      <w:r w:rsidRPr="005E0D75">
        <w:rPr>
          <w:rStyle w:val="Znakapoznpodarou"/>
        </w:rPr>
        <w:footnoteReference w:id="11"/>
      </w:r>
    </w:p>
    <w:p w:rsidR="00727B14" w:rsidRPr="005E0D75" w:rsidRDefault="007F2F19" w:rsidP="007F2F19">
      <w:pPr>
        <w:numPr>
          <w:ilvl w:val="1"/>
          <w:numId w:val="11"/>
        </w:numPr>
        <w:tabs>
          <w:tab w:val="clear" w:pos="1440"/>
          <w:tab w:val="num" w:pos="720"/>
        </w:tabs>
        <w:ind w:left="720"/>
      </w:pPr>
      <w:r w:rsidRPr="005E0D75">
        <w:rPr>
          <w:b/>
        </w:rPr>
        <w:t>Marketingová nehmotná aktiva</w:t>
      </w:r>
      <w:r w:rsidRPr="005E0D75">
        <w:t>. Tato aktiva plní funkci</w:t>
      </w:r>
      <w:r w:rsidR="00727B14" w:rsidRPr="005E0D75">
        <w:t xml:space="preserve"> v oblasti reklamy a marketingu. Mezi tato nehmotná aktiva patří zejména ochranné známky výrobků a služeb, zeměpisná označení a označení původu, obchodní firma, průmyslový vzor, firemní oblečení, internetové domény či smlouvy o nekonkurování si.</w:t>
      </w:r>
    </w:p>
    <w:p w:rsidR="001A6ACF" w:rsidRPr="005E0D75" w:rsidRDefault="00727B14" w:rsidP="007F2F19">
      <w:pPr>
        <w:numPr>
          <w:ilvl w:val="1"/>
          <w:numId w:val="11"/>
        </w:numPr>
        <w:tabs>
          <w:tab w:val="clear" w:pos="1440"/>
          <w:tab w:val="num" w:pos="720"/>
        </w:tabs>
        <w:ind w:left="720"/>
      </w:pPr>
      <w:r w:rsidRPr="005E0D75">
        <w:rPr>
          <w:b/>
        </w:rPr>
        <w:t>Nehmotná aktiva ze vztahů</w:t>
      </w:r>
      <w:r w:rsidRPr="005E0D75">
        <w:t>. Tato nehmotná aktiva vznikají na základě jednak znalosti a jedna</w:t>
      </w:r>
      <w:r w:rsidR="00B62D04" w:rsidRPr="005E0D75">
        <w:t>k budování vztahů se zákazníky,</w:t>
      </w:r>
      <w:r w:rsidRPr="005E0D75">
        <w:t xml:space="preserve"> dodavateli</w:t>
      </w:r>
      <w:r w:rsidR="00B62D04" w:rsidRPr="005E0D75">
        <w:t>, partnery či zaměstnanci</w:t>
      </w:r>
      <w:r w:rsidRPr="005E0D75">
        <w:t>.</w:t>
      </w:r>
      <w:r w:rsidR="00B62D04" w:rsidRPr="005E0D75">
        <w:rPr>
          <w:rStyle w:val="Znakapoznpodarou"/>
        </w:rPr>
        <w:footnoteReference w:id="12"/>
      </w:r>
      <w:r w:rsidRPr="005E0D75">
        <w:t xml:space="preserve"> Mezi tato nehmotná aktiva patří zejména </w:t>
      </w:r>
      <w:r w:rsidR="00B102BE" w:rsidRPr="005E0D75">
        <w:t xml:space="preserve">seznamy zákazníků, vztahy se zákazníky, dodavatelské smlouvy, </w:t>
      </w:r>
      <w:r w:rsidR="001A6ACF" w:rsidRPr="005E0D75">
        <w:t xml:space="preserve">manažerské a </w:t>
      </w:r>
      <w:r w:rsidR="00B102BE" w:rsidRPr="005E0D75">
        <w:t xml:space="preserve">zaměstnanecké smlouvy, </w:t>
      </w:r>
      <w:r w:rsidR="001A6ACF" w:rsidRPr="005E0D75">
        <w:t>licenční a franšízové smlouvy, speciální povolení/licence.</w:t>
      </w:r>
    </w:p>
    <w:p w:rsidR="001A6ACF" w:rsidRPr="005E0D75" w:rsidRDefault="001A6ACF" w:rsidP="007F2F19">
      <w:pPr>
        <w:numPr>
          <w:ilvl w:val="1"/>
          <w:numId w:val="11"/>
        </w:numPr>
        <w:tabs>
          <w:tab w:val="clear" w:pos="1440"/>
          <w:tab w:val="num" w:pos="720"/>
        </w:tabs>
        <w:ind w:left="720"/>
      </w:pPr>
      <w:r w:rsidRPr="005E0D75">
        <w:rPr>
          <w:b/>
        </w:rPr>
        <w:t>Technologická nehmotná aktiva</w:t>
      </w:r>
      <w:r w:rsidRPr="005E0D75">
        <w:t xml:space="preserve">. Tato skupina nehmotných aktiv je tvořena právy k užití technických znalostí, zejména </w:t>
      </w:r>
      <w:r w:rsidR="00B62D04" w:rsidRPr="005E0D75">
        <w:t>chráněných patenty a užitnými vzory. Patří sem také práva k</w:t>
      </w:r>
      <w:r w:rsidRPr="005E0D75">
        <w:t xml:space="preserve"> databází</w:t>
      </w:r>
      <w:r w:rsidR="00B62D04" w:rsidRPr="005E0D75">
        <w:t>m</w:t>
      </w:r>
      <w:r w:rsidRPr="005E0D75">
        <w:t xml:space="preserve"> technických poznatků,</w:t>
      </w:r>
      <w:r w:rsidR="00B62D04" w:rsidRPr="005E0D75">
        <w:t xml:space="preserve"> výkresové dokumentaci</w:t>
      </w:r>
      <w:r w:rsidR="00DD09E0" w:rsidRPr="005E0D75">
        <w:t>, software, postupům a recepturám</w:t>
      </w:r>
      <w:r w:rsidRPr="005E0D75">
        <w:t>.</w:t>
      </w:r>
    </w:p>
    <w:p w:rsidR="001A6ACF" w:rsidRPr="005E0D75" w:rsidRDefault="001A6ACF" w:rsidP="007F2F19">
      <w:pPr>
        <w:numPr>
          <w:ilvl w:val="1"/>
          <w:numId w:val="11"/>
        </w:numPr>
        <w:tabs>
          <w:tab w:val="clear" w:pos="1440"/>
          <w:tab w:val="num" w:pos="720"/>
        </w:tabs>
        <w:ind w:left="720"/>
      </w:pPr>
      <w:r w:rsidRPr="005E0D75">
        <w:rPr>
          <w:b/>
        </w:rPr>
        <w:t>Umělecká nehmotná aktiva</w:t>
      </w:r>
      <w:r w:rsidRPr="005E0D75">
        <w:t>. Tato skupina aktiv je tvořena zejména právy k uměleckým, literárním, hudebním, filmovým a jiným dílům a vydavatelskými právy.</w:t>
      </w:r>
    </w:p>
    <w:p w:rsidR="009640BE" w:rsidRPr="005E0D75" w:rsidRDefault="00A06D5B" w:rsidP="009640BE">
      <w:pPr>
        <w:pStyle w:val="Nadpis1"/>
      </w:pPr>
      <w:bookmarkStart w:id="3" w:name="_Toc301173566"/>
      <w:r w:rsidRPr="005E0D75">
        <w:t xml:space="preserve">Kategorie </w:t>
      </w:r>
      <w:r w:rsidR="004802F7" w:rsidRPr="005E0D75">
        <w:t xml:space="preserve">a forma </w:t>
      </w:r>
      <w:r w:rsidRPr="005E0D75">
        <w:t>hodnoty</w:t>
      </w:r>
      <w:bookmarkEnd w:id="3"/>
    </w:p>
    <w:p w:rsidR="0073020F" w:rsidRPr="005E0D75" w:rsidRDefault="004D2652" w:rsidP="009640BE">
      <w:pPr>
        <w:numPr>
          <w:ilvl w:val="0"/>
          <w:numId w:val="10"/>
        </w:numPr>
      </w:pPr>
      <w:r w:rsidRPr="005E0D75">
        <w:t xml:space="preserve">Zvolený přístup a metody ocenění jsou závislé na kategorii hodnoty, kterou má být nehmotné aktivum oceněno. </w:t>
      </w:r>
      <w:r w:rsidR="004C65E2" w:rsidRPr="005E0D75">
        <w:t xml:space="preserve">Základními kategoriemi hodnoty pro nehmotný majetek jsou následující: </w:t>
      </w:r>
    </w:p>
    <w:p w:rsidR="0073020F" w:rsidRPr="005E0D75" w:rsidRDefault="004C65E2" w:rsidP="0073020F">
      <w:pPr>
        <w:numPr>
          <w:ilvl w:val="1"/>
          <w:numId w:val="11"/>
        </w:numPr>
        <w:tabs>
          <w:tab w:val="clear" w:pos="1440"/>
          <w:tab w:val="num" w:pos="720"/>
        </w:tabs>
        <w:ind w:left="720"/>
      </w:pPr>
      <w:r w:rsidRPr="005E0D75">
        <w:t xml:space="preserve">tržní hodnota, </w:t>
      </w:r>
    </w:p>
    <w:p w:rsidR="0073020F" w:rsidRPr="005E0D75" w:rsidRDefault="004C65E2" w:rsidP="0073020F">
      <w:pPr>
        <w:numPr>
          <w:ilvl w:val="1"/>
          <w:numId w:val="11"/>
        </w:numPr>
        <w:tabs>
          <w:tab w:val="clear" w:pos="1440"/>
          <w:tab w:val="num" w:pos="720"/>
        </w:tabs>
        <w:ind w:left="720"/>
      </w:pPr>
      <w:r w:rsidRPr="005E0D75">
        <w:t>fair value</w:t>
      </w:r>
      <w:r w:rsidR="0073020F" w:rsidRPr="005E0D75">
        <w:t>,</w:t>
      </w:r>
    </w:p>
    <w:p w:rsidR="004D2652" w:rsidRPr="005E0D75" w:rsidRDefault="004C65E2" w:rsidP="0073020F">
      <w:pPr>
        <w:numPr>
          <w:ilvl w:val="1"/>
          <w:numId w:val="11"/>
        </w:numPr>
        <w:tabs>
          <w:tab w:val="clear" w:pos="1440"/>
          <w:tab w:val="num" w:pos="720"/>
        </w:tabs>
        <w:ind w:left="720"/>
      </w:pPr>
      <w:r w:rsidRPr="005E0D75">
        <w:t>investiční hodnota.</w:t>
      </w:r>
    </w:p>
    <w:p w:rsidR="004C65E2" w:rsidRPr="005E0D75" w:rsidRDefault="004C65E2" w:rsidP="000B0ADC">
      <w:pPr>
        <w:numPr>
          <w:ilvl w:val="0"/>
          <w:numId w:val="10"/>
        </w:numPr>
        <w:tabs>
          <w:tab w:val="num" w:pos="720"/>
        </w:tabs>
      </w:pPr>
      <w:r w:rsidRPr="005E0D75">
        <w:rPr>
          <w:b/>
        </w:rPr>
        <w:t>Tržní hodnota</w:t>
      </w:r>
      <w:r w:rsidRPr="005E0D75">
        <w:t xml:space="preserve"> </w:t>
      </w:r>
      <w:r w:rsidR="000B0ADC" w:rsidRPr="005E0D75">
        <w:t>je odhadnutá částka, za kterou by měl být majetek směněn k datu ocenění mezi ochotným kupujícím a ochotným prodávajícím při transakci mezi samostatnými a nezávislými partnery po náležitém marketingu, ve které by obě strany jednaly informovaně, rozumně a bez nátlaku.</w:t>
      </w:r>
      <w:r w:rsidRPr="005E0D75">
        <w:rPr>
          <w:rStyle w:val="Znakapoznpodarou"/>
        </w:rPr>
        <w:footnoteReference w:id="13"/>
      </w:r>
      <w:r w:rsidRPr="005E0D75">
        <w:t xml:space="preserve"> </w:t>
      </w:r>
    </w:p>
    <w:p w:rsidR="000B0ADC" w:rsidRPr="005E0D75" w:rsidRDefault="004C65E2" w:rsidP="000B0ADC">
      <w:pPr>
        <w:numPr>
          <w:ilvl w:val="0"/>
          <w:numId w:val="10"/>
        </w:numPr>
        <w:tabs>
          <w:tab w:val="num" w:pos="720"/>
        </w:tabs>
      </w:pPr>
      <w:r w:rsidRPr="005E0D75">
        <w:lastRenderedPageBreak/>
        <w:t>Tržní hodnota předpokládá nejlepší možné využití aktiva, kterým se rozumí nejpravděpodobnější použití majetku, které je fyzicky možné, odpovídajícím způsobem oprávněné, právně přípustné, finančně proveditelné a které má za následek nejvyšší hodnotu oceňovaného aktiva.</w:t>
      </w:r>
      <w:r w:rsidRPr="005E0D75">
        <w:rPr>
          <w:rStyle w:val="Znakapoznpodarou"/>
        </w:rPr>
        <w:footnoteReference w:id="14"/>
      </w:r>
    </w:p>
    <w:p w:rsidR="004D2652" w:rsidRPr="005E0D75" w:rsidRDefault="00474A4E" w:rsidP="009640BE">
      <w:pPr>
        <w:numPr>
          <w:ilvl w:val="0"/>
          <w:numId w:val="10"/>
        </w:numPr>
      </w:pPr>
      <w:r w:rsidRPr="005E0D75">
        <w:t>Tržní hodnota předpokládá běžné tržní zájemce a co nejširší použití tržních dat při ocenění.</w:t>
      </w:r>
    </w:p>
    <w:p w:rsidR="004D2652" w:rsidRPr="005E0D75" w:rsidRDefault="004D2652" w:rsidP="009640BE">
      <w:pPr>
        <w:numPr>
          <w:ilvl w:val="0"/>
          <w:numId w:val="10"/>
        </w:numPr>
      </w:pPr>
      <w:r w:rsidRPr="005E0D75">
        <w:rPr>
          <w:b/>
        </w:rPr>
        <w:t>F</w:t>
      </w:r>
      <w:r w:rsidR="00474A4E" w:rsidRPr="005E0D75">
        <w:rPr>
          <w:b/>
        </w:rPr>
        <w:t>air value</w:t>
      </w:r>
      <w:r w:rsidR="00474A4E" w:rsidRPr="005E0D75">
        <w:t xml:space="preserve"> je odhadnutá částka, za kterou by bylo možné aktivum prodat či převést dluh v běžné transakci mezi tržními účastníky k datu ocenění.</w:t>
      </w:r>
      <w:r w:rsidR="00474A4E" w:rsidRPr="005E0D75">
        <w:rPr>
          <w:rStyle w:val="Znakapoznpodarou"/>
        </w:rPr>
        <w:footnoteReference w:id="15"/>
      </w:r>
      <w:r w:rsidR="00474A4E" w:rsidRPr="005E0D75">
        <w:t xml:space="preserve"> </w:t>
      </w:r>
    </w:p>
    <w:p w:rsidR="00474A4E" w:rsidRPr="005E0D75" w:rsidRDefault="00474A4E" w:rsidP="009640BE">
      <w:pPr>
        <w:numPr>
          <w:ilvl w:val="0"/>
          <w:numId w:val="10"/>
        </w:numPr>
      </w:pPr>
      <w:r w:rsidRPr="005E0D75">
        <w:t xml:space="preserve">Fair value je hodnota, která rovněž předpokládá běžné tržní zájemce a nejlepší možné využití aktiva, nicméně od tržní hodnoty se odlišuje </w:t>
      </w:r>
      <w:r w:rsidR="00A06D5B" w:rsidRPr="005E0D75">
        <w:t xml:space="preserve">zejména </w:t>
      </w:r>
      <w:r w:rsidRPr="005E0D75">
        <w:t>v těchto hlavních aspektech:</w:t>
      </w:r>
    </w:p>
    <w:p w:rsidR="00474A4E" w:rsidRPr="005E0D75" w:rsidRDefault="00474A4E" w:rsidP="00474A4E">
      <w:pPr>
        <w:numPr>
          <w:ilvl w:val="1"/>
          <w:numId w:val="11"/>
        </w:numPr>
        <w:tabs>
          <w:tab w:val="clear" w:pos="1440"/>
          <w:tab w:val="num" w:pos="720"/>
        </w:tabs>
        <w:ind w:left="720"/>
      </w:pPr>
      <w:r w:rsidRPr="005E0D75">
        <w:t xml:space="preserve">Fair value je odhadnutá prodejní cena. V případě existence nákladů na přepravu aktiva </w:t>
      </w:r>
      <w:r w:rsidR="0073020F" w:rsidRPr="005E0D75">
        <w:t xml:space="preserve">na relevantní trh </w:t>
      </w:r>
      <w:r w:rsidRPr="005E0D75">
        <w:t>je třeba tyto náklady od odhadnuté částky odečíst</w:t>
      </w:r>
      <w:r w:rsidR="001F6F62" w:rsidRPr="005E0D75">
        <w:t>;</w:t>
      </w:r>
      <w:r w:rsidRPr="005E0D75">
        <w:rPr>
          <w:rStyle w:val="Znakapoznpodarou"/>
        </w:rPr>
        <w:footnoteReference w:id="16"/>
      </w:r>
    </w:p>
    <w:p w:rsidR="001F6F62" w:rsidRPr="005E0D75" w:rsidRDefault="001F6F62" w:rsidP="00474A4E">
      <w:pPr>
        <w:numPr>
          <w:ilvl w:val="1"/>
          <w:numId w:val="11"/>
        </w:numPr>
        <w:tabs>
          <w:tab w:val="clear" w:pos="1440"/>
          <w:tab w:val="num" w:pos="720"/>
        </w:tabs>
        <w:ind w:left="720"/>
      </w:pPr>
      <w:r w:rsidRPr="005E0D75">
        <w:t>Fair value nabízí širší škálu kvality dat pro odhad hodnoty. Fair value lze odhadnout užitím následujících dat:</w:t>
      </w:r>
    </w:p>
    <w:p w:rsidR="001F6F62" w:rsidRPr="005E0D75" w:rsidRDefault="001F6F62" w:rsidP="001F6F62">
      <w:pPr>
        <w:numPr>
          <w:ilvl w:val="2"/>
          <w:numId w:val="11"/>
        </w:numPr>
        <w:tabs>
          <w:tab w:val="clear" w:pos="2160"/>
          <w:tab w:val="num" w:pos="1134"/>
        </w:tabs>
        <w:ind w:left="1134"/>
      </w:pPr>
      <w:r w:rsidRPr="005E0D75">
        <w:t xml:space="preserve">na základě </w:t>
      </w:r>
      <w:r w:rsidR="00B0547E" w:rsidRPr="005E0D75">
        <w:t xml:space="preserve">běžně </w:t>
      </w:r>
      <w:r w:rsidRPr="005E0D75">
        <w:t>pozorovatelných tržních dat</w:t>
      </w:r>
      <w:r w:rsidR="0067342F" w:rsidRPr="005E0D75">
        <w:t xml:space="preserve"> (ve většině případů funkčně podobných aktiv</w:t>
      </w:r>
      <w:r w:rsidR="0073020F" w:rsidRPr="005E0D75">
        <w:t>, zřídkakdy identických</w:t>
      </w:r>
      <w:r w:rsidR="0067342F" w:rsidRPr="005E0D75">
        <w:t>)</w:t>
      </w:r>
      <w:r w:rsidRPr="005E0D75">
        <w:t>,</w:t>
      </w:r>
    </w:p>
    <w:p w:rsidR="001F6F62" w:rsidRPr="005E0D75" w:rsidRDefault="001F6F62" w:rsidP="001F6F62">
      <w:pPr>
        <w:numPr>
          <w:ilvl w:val="2"/>
          <w:numId w:val="11"/>
        </w:numPr>
        <w:tabs>
          <w:tab w:val="clear" w:pos="2160"/>
          <w:tab w:val="num" w:pos="1134"/>
        </w:tabs>
        <w:ind w:left="1134"/>
      </w:pPr>
      <w:r w:rsidRPr="005E0D75">
        <w:t xml:space="preserve">na základě nepozorovatelných dat, pokud je pravděpodobné, že by běžní tržní účastníci tato data </w:t>
      </w:r>
      <w:r w:rsidR="00B0547E" w:rsidRPr="005E0D75">
        <w:t>pro ocenění použili</w:t>
      </w:r>
      <w:r w:rsidR="0067342F" w:rsidRPr="005E0D75">
        <w:t xml:space="preserve"> (v praxi např. ocenění vztahů se zákazníky)</w:t>
      </w:r>
      <w:r w:rsidR="00B0547E" w:rsidRPr="005E0D75">
        <w:t>;</w:t>
      </w:r>
    </w:p>
    <w:p w:rsidR="00535C98" w:rsidRPr="005E0D75" w:rsidRDefault="00E57404" w:rsidP="00E57404">
      <w:pPr>
        <w:numPr>
          <w:ilvl w:val="0"/>
          <w:numId w:val="10"/>
        </w:numPr>
      </w:pPr>
      <w:r w:rsidRPr="005E0D75">
        <w:rPr>
          <w:b/>
        </w:rPr>
        <w:t>Investiční hodnota.</w:t>
      </w:r>
      <w:r w:rsidRPr="005E0D75">
        <w:t xml:space="preserve"> Představuje hodnotu, která plyne konkrétnímu vlastníku aktiva z jeho užívání. Je to hodnota, která odráží pohled na užitky konkrétního investora či skupiny investorů.</w:t>
      </w:r>
      <w:r w:rsidR="001E3EEB" w:rsidRPr="005E0D75">
        <w:rPr>
          <w:rStyle w:val="Znakapoznpodarou"/>
        </w:rPr>
        <w:footnoteReference w:id="17"/>
      </w:r>
      <w:r w:rsidR="0073020F" w:rsidRPr="005E0D75">
        <w:t xml:space="preserve"> Do této kategorie lze zařadit také hodnotu stávajícího užití, která se může lišit od běžného tržního užití nehmotného aktiva.</w:t>
      </w:r>
    </w:p>
    <w:p w:rsidR="00535C98" w:rsidRPr="005E0D75" w:rsidRDefault="004802F7" w:rsidP="00E57404">
      <w:pPr>
        <w:numPr>
          <w:ilvl w:val="0"/>
          <w:numId w:val="10"/>
        </w:numPr>
      </w:pPr>
      <w:r w:rsidRPr="005E0D75">
        <w:rPr>
          <w:b/>
        </w:rPr>
        <w:t>S</w:t>
      </w:r>
      <w:r w:rsidR="00A06D5B" w:rsidRPr="005E0D75">
        <w:rPr>
          <w:b/>
        </w:rPr>
        <w:t>ynergie</w:t>
      </w:r>
      <w:r w:rsidR="0067342F" w:rsidRPr="005E0D75">
        <w:t>. Synergie představuje přístupek hodnoty vzniklý spojením aktiv v nový celek</w:t>
      </w:r>
      <w:r w:rsidR="003B6289" w:rsidRPr="005E0D75">
        <w:t>.</w:t>
      </w:r>
      <w:r w:rsidR="003B6289" w:rsidRPr="005E0D75">
        <w:rPr>
          <w:rStyle w:val="Znakapoznpodarou"/>
        </w:rPr>
        <w:footnoteReference w:id="18"/>
      </w:r>
      <w:r w:rsidR="003B6289" w:rsidRPr="005E0D75">
        <w:t xml:space="preserve"> Koncept tržní hodnoty předpokládá obvykle ocenění na bázi samostatného fungování aktiva</w:t>
      </w:r>
      <w:r w:rsidR="00E85DB2" w:rsidRPr="005E0D75">
        <w:t>. V odborné praxi začíná převažovat názor, že pokud jsou synergie typickou vlastností aktiva a zároveň jsou dostupné běžnému tržnímu zájemci, měly by se určitým způsobem do tržní hodnoty započítat.</w:t>
      </w:r>
      <w:r w:rsidR="00E85DB2" w:rsidRPr="005E0D75">
        <w:rPr>
          <w:rStyle w:val="Znakapoznpodarou"/>
        </w:rPr>
        <w:footnoteReference w:id="19"/>
      </w:r>
      <w:r w:rsidR="00E85DB2" w:rsidRPr="005E0D75">
        <w:t xml:space="preserve"> K</w:t>
      </w:r>
      <w:r w:rsidR="003B6289" w:rsidRPr="005E0D75">
        <w:t>oncept fair value umožňuje i ocenění na bázi spojeného celku</w:t>
      </w:r>
      <w:r w:rsidR="00E85DB2" w:rsidRPr="005E0D75">
        <w:t>,</w:t>
      </w:r>
      <w:r w:rsidR="003B6289" w:rsidRPr="005E0D75">
        <w:rPr>
          <w:rStyle w:val="Znakapoznpodarou"/>
        </w:rPr>
        <w:footnoteReference w:id="20"/>
      </w:r>
      <w:r w:rsidR="00E85DB2" w:rsidRPr="005E0D75">
        <w:t xml:space="preserve"> stejně tak ze své podstaty umožňuje započítat </w:t>
      </w:r>
      <w:r w:rsidR="0073020F" w:rsidRPr="005E0D75">
        <w:t xml:space="preserve">či vynechat </w:t>
      </w:r>
      <w:r w:rsidR="00E85DB2" w:rsidRPr="005E0D75">
        <w:t>tyto přírůstky hodnoty investiční hodnota.</w:t>
      </w:r>
    </w:p>
    <w:p w:rsidR="00044105" w:rsidRPr="005E0D75" w:rsidRDefault="00044105" w:rsidP="00E57404">
      <w:pPr>
        <w:numPr>
          <w:ilvl w:val="0"/>
          <w:numId w:val="10"/>
        </w:numPr>
      </w:pPr>
      <w:r w:rsidRPr="005E0D75">
        <w:rPr>
          <w:b/>
        </w:rPr>
        <w:t>Hodnotové překrývání</w:t>
      </w:r>
      <w:r w:rsidR="000838AD" w:rsidRPr="005E0D75">
        <w:rPr>
          <w:b/>
        </w:rPr>
        <w:t xml:space="preserve"> nehmotných aktiv</w:t>
      </w:r>
      <w:r w:rsidR="000838AD" w:rsidRPr="005E0D75">
        <w:rPr>
          <w:rStyle w:val="Znakapoznpodarou"/>
          <w:b/>
        </w:rPr>
        <w:footnoteReference w:id="21"/>
      </w:r>
      <w:r w:rsidRPr="005E0D75">
        <w:t xml:space="preserve">. </w:t>
      </w:r>
      <w:r w:rsidR="000838AD" w:rsidRPr="005E0D75">
        <w:t>P</w:t>
      </w:r>
      <w:r w:rsidRPr="005E0D75">
        <w:t>odnik</w:t>
      </w:r>
      <w:r w:rsidR="000838AD" w:rsidRPr="005E0D75">
        <w:t>y běžně</w:t>
      </w:r>
      <w:r w:rsidRPr="005E0D75">
        <w:t xml:space="preserve"> vlastní </w:t>
      </w:r>
      <w:r w:rsidR="000838AD" w:rsidRPr="005E0D75">
        <w:t>či užívají</w:t>
      </w:r>
      <w:r w:rsidRPr="005E0D75">
        <w:t xml:space="preserve"> více nehmotných aktiv</w:t>
      </w:r>
      <w:r w:rsidR="000838AD" w:rsidRPr="005E0D75">
        <w:t xml:space="preserve"> společně</w:t>
      </w:r>
      <w:r w:rsidRPr="005E0D75">
        <w:t xml:space="preserve">, </w:t>
      </w:r>
      <w:r w:rsidR="000838AD" w:rsidRPr="005E0D75">
        <w:t>což představuje problém v oddělení</w:t>
      </w:r>
      <w:r w:rsidRPr="005E0D75">
        <w:t xml:space="preserve"> </w:t>
      </w:r>
      <w:r w:rsidR="000838AD" w:rsidRPr="005E0D75">
        <w:t>hodnoty</w:t>
      </w:r>
      <w:r w:rsidRPr="005E0D75">
        <w:t xml:space="preserve"> </w:t>
      </w:r>
      <w:r w:rsidR="000838AD" w:rsidRPr="005E0D75">
        <w:t xml:space="preserve">jednotlivých </w:t>
      </w:r>
      <w:r w:rsidRPr="005E0D75">
        <w:lastRenderedPageBreak/>
        <w:t xml:space="preserve">nehmotných aktiv. </w:t>
      </w:r>
      <w:r w:rsidR="000838AD" w:rsidRPr="005E0D75">
        <w:t xml:space="preserve">V takových případech je třeba zvláštní opatrnosti </w:t>
      </w:r>
      <w:r w:rsidR="006D06F7" w:rsidRPr="005E0D75">
        <w:t>oceňovatele, který by měl zvolit takové přístupy a metody, které pomohou hodnoty jednotlivých aktiv co nejlépe oddělit</w:t>
      </w:r>
      <w:r w:rsidR="00C25421" w:rsidRPr="005E0D75">
        <w:t>, pokud je toto oddělení v rámci účelu ocenění vyžadováno či je nezbytné</w:t>
      </w:r>
      <w:r w:rsidR="006D06F7" w:rsidRPr="005E0D75">
        <w:t xml:space="preserve">. </w:t>
      </w:r>
      <w:r w:rsidRPr="005E0D75">
        <w:t>Mezi tyto případy patří zejména:</w:t>
      </w:r>
    </w:p>
    <w:p w:rsidR="00044105" w:rsidRPr="005E0D75" w:rsidRDefault="00C25421" w:rsidP="00044105">
      <w:pPr>
        <w:numPr>
          <w:ilvl w:val="1"/>
          <w:numId w:val="11"/>
        </w:numPr>
        <w:tabs>
          <w:tab w:val="clear" w:pos="1440"/>
          <w:tab w:val="num" w:pos="720"/>
        </w:tabs>
        <w:ind w:left="720"/>
      </w:pPr>
      <w:r w:rsidRPr="005E0D75">
        <w:t>vliv</w:t>
      </w:r>
      <w:r w:rsidR="00044105" w:rsidRPr="005E0D75">
        <w:t xml:space="preserve"> registrovaných technických poznatků (např. patentem) </w:t>
      </w:r>
      <w:r w:rsidRPr="005E0D75">
        <w:t>a</w:t>
      </w:r>
      <w:r w:rsidR="00044105" w:rsidRPr="005E0D75">
        <w:t xml:space="preserve"> vliv utajených technických poznatků (obchodní tajemství) či software,</w:t>
      </w:r>
    </w:p>
    <w:p w:rsidR="00044105" w:rsidRPr="005E0D75" w:rsidRDefault="00C25421" w:rsidP="00044105">
      <w:pPr>
        <w:numPr>
          <w:ilvl w:val="1"/>
          <w:numId w:val="11"/>
        </w:numPr>
        <w:tabs>
          <w:tab w:val="clear" w:pos="1440"/>
          <w:tab w:val="num" w:pos="720"/>
        </w:tabs>
        <w:ind w:left="720"/>
      </w:pPr>
      <w:r w:rsidRPr="005E0D75">
        <w:t>vliv</w:t>
      </w:r>
      <w:r w:rsidR="00044105" w:rsidRPr="005E0D75">
        <w:t xml:space="preserve"> zavedené ochranné známky </w:t>
      </w:r>
      <w:r w:rsidRPr="005E0D75">
        <w:t>a vliv</w:t>
      </w:r>
      <w:r w:rsidR="00044105" w:rsidRPr="005E0D75">
        <w:t xml:space="preserve"> zavedených zákaznických vztahů,</w:t>
      </w:r>
    </w:p>
    <w:p w:rsidR="000838AD" w:rsidRPr="005E0D75" w:rsidRDefault="00C25421" w:rsidP="000838AD">
      <w:pPr>
        <w:numPr>
          <w:ilvl w:val="1"/>
          <w:numId w:val="11"/>
        </w:numPr>
        <w:tabs>
          <w:tab w:val="clear" w:pos="1440"/>
          <w:tab w:val="num" w:pos="720"/>
        </w:tabs>
        <w:ind w:left="720"/>
      </w:pPr>
      <w:r w:rsidRPr="005E0D75">
        <w:t>vliv</w:t>
      </w:r>
      <w:r w:rsidR="000838AD" w:rsidRPr="005E0D75">
        <w:t xml:space="preserve"> zavedené ochranné známky </w:t>
      </w:r>
      <w:r w:rsidRPr="005E0D75">
        <w:t xml:space="preserve">a </w:t>
      </w:r>
      <w:r w:rsidR="000838AD" w:rsidRPr="005E0D75">
        <w:t>vliv obchodní firmy podniku,</w:t>
      </w:r>
    </w:p>
    <w:p w:rsidR="000838AD" w:rsidRPr="005E0D75" w:rsidRDefault="00C25421" w:rsidP="000838AD">
      <w:pPr>
        <w:numPr>
          <w:ilvl w:val="1"/>
          <w:numId w:val="11"/>
        </w:numPr>
        <w:tabs>
          <w:tab w:val="clear" w:pos="1440"/>
          <w:tab w:val="num" w:pos="720"/>
        </w:tabs>
        <w:ind w:left="720"/>
      </w:pPr>
      <w:r w:rsidRPr="005E0D75">
        <w:t>vliv</w:t>
      </w:r>
      <w:r w:rsidR="000838AD" w:rsidRPr="005E0D75">
        <w:t xml:space="preserve"> zavedené ochranné známky </w:t>
      </w:r>
      <w:r w:rsidRPr="005E0D75">
        <w:t>a vliv</w:t>
      </w:r>
      <w:r w:rsidR="000838AD" w:rsidRPr="005E0D75">
        <w:t xml:space="preserve"> doménového jména stejného znění,</w:t>
      </w:r>
    </w:p>
    <w:p w:rsidR="000838AD" w:rsidRPr="005E0D75" w:rsidRDefault="00C25421" w:rsidP="00044105">
      <w:pPr>
        <w:numPr>
          <w:ilvl w:val="1"/>
          <w:numId w:val="11"/>
        </w:numPr>
        <w:tabs>
          <w:tab w:val="clear" w:pos="1440"/>
          <w:tab w:val="num" w:pos="720"/>
        </w:tabs>
        <w:ind w:left="720"/>
      </w:pPr>
      <w:r w:rsidRPr="005E0D75">
        <w:t>vliv</w:t>
      </w:r>
      <w:r w:rsidR="000838AD" w:rsidRPr="005E0D75">
        <w:t xml:space="preserve"> doménového jména </w:t>
      </w:r>
      <w:r w:rsidRPr="005E0D75">
        <w:t>a vliv</w:t>
      </w:r>
      <w:r w:rsidR="000838AD" w:rsidRPr="005E0D75">
        <w:t xml:space="preserve"> doménového obsahu běžícím na dané doméně,</w:t>
      </w:r>
    </w:p>
    <w:p w:rsidR="00044105" w:rsidRPr="005E0D75" w:rsidRDefault="00C25421" w:rsidP="00044105">
      <w:pPr>
        <w:numPr>
          <w:ilvl w:val="1"/>
          <w:numId w:val="11"/>
        </w:numPr>
        <w:tabs>
          <w:tab w:val="clear" w:pos="1440"/>
          <w:tab w:val="num" w:pos="720"/>
        </w:tabs>
        <w:ind w:left="720"/>
      </w:pPr>
      <w:r w:rsidRPr="005E0D75">
        <w:t>vliv</w:t>
      </w:r>
      <w:r w:rsidR="00044105" w:rsidRPr="005E0D75">
        <w:t xml:space="preserve"> zavedené ochranné známky </w:t>
      </w:r>
      <w:r w:rsidRPr="005E0D75">
        <w:t>a</w:t>
      </w:r>
      <w:r w:rsidR="00044105" w:rsidRPr="005E0D75">
        <w:t xml:space="preserve"> vliv dobré pověsti podniku,</w:t>
      </w:r>
    </w:p>
    <w:p w:rsidR="00044105" w:rsidRPr="005E0D75" w:rsidRDefault="00C25421" w:rsidP="00044105">
      <w:pPr>
        <w:numPr>
          <w:ilvl w:val="1"/>
          <w:numId w:val="11"/>
        </w:numPr>
        <w:tabs>
          <w:tab w:val="clear" w:pos="1440"/>
          <w:tab w:val="num" w:pos="720"/>
        </w:tabs>
        <w:ind w:left="720"/>
      </w:pPr>
      <w:r w:rsidRPr="005E0D75">
        <w:t>vliv</w:t>
      </w:r>
      <w:r w:rsidR="00044105" w:rsidRPr="005E0D75">
        <w:t xml:space="preserve"> dobré pověsti podniku </w:t>
      </w:r>
      <w:r w:rsidRPr="005E0D75">
        <w:t>a vliv</w:t>
      </w:r>
      <w:r w:rsidR="00044105" w:rsidRPr="005E0D75">
        <w:t xml:space="preserve"> dobré pov</w:t>
      </w:r>
      <w:r w:rsidRPr="005E0D75">
        <w:t>ěsti individuálních zaměstnanců,</w:t>
      </w:r>
    </w:p>
    <w:p w:rsidR="00C25421" w:rsidRPr="005E0D75" w:rsidRDefault="00C25421" w:rsidP="00044105">
      <w:pPr>
        <w:numPr>
          <w:ilvl w:val="1"/>
          <w:numId w:val="11"/>
        </w:numPr>
        <w:tabs>
          <w:tab w:val="clear" w:pos="1440"/>
          <w:tab w:val="num" w:pos="720"/>
        </w:tabs>
        <w:ind w:left="720"/>
      </w:pPr>
      <w:r w:rsidRPr="005E0D75">
        <w:t>vliv dispozice seznamy zákazníků a vliv obchodního tajemství jako celku, apod.</w:t>
      </w:r>
    </w:p>
    <w:p w:rsidR="00A06D5B" w:rsidRPr="005E0D75" w:rsidRDefault="003B3E87" w:rsidP="00E57404">
      <w:pPr>
        <w:numPr>
          <w:ilvl w:val="0"/>
          <w:numId w:val="10"/>
        </w:numPr>
      </w:pPr>
      <w:r w:rsidRPr="005E0D75">
        <w:rPr>
          <w:b/>
        </w:rPr>
        <w:t>Daňové aspekty</w:t>
      </w:r>
      <w:r w:rsidR="00A06D5B" w:rsidRPr="005E0D75">
        <w:t xml:space="preserve">. </w:t>
      </w:r>
      <w:r w:rsidR="002B1651" w:rsidRPr="005E0D75">
        <w:t>Tento užitek plyne z možnosti daňově odepisovat nakoupené nehmotné aktivum a tím dosahovat úspor na dani z příjmů prostřednictvím snižování základu daně.</w:t>
      </w:r>
      <w:r w:rsidR="00DF4E6F" w:rsidRPr="005E0D75">
        <w:rPr>
          <w:rStyle w:val="Znakapoznpodarou"/>
        </w:rPr>
        <w:footnoteReference w:id="22"/>
      </w:r>
      <w:r w:rsidR="00DF4E6F" w:rsidRPr="005E0D75">
        <w:t xml:space="preserve"> </w:t>
      </w:r>
      <w:r w:rsidRPr="005E0D75">
        <w:t>Pokud jsou tyto úspory obecně dostupné typickému kupujícímu na trhu v příslušném daňovém prostředí a jejich započtení se slučuje s použitým přístupem k ocenění a účelem ocenění, měly by se do tržní hodnoty promítnout.</w:t>
      </w:r>
      <w:r w:rsidRPr="005E0D75">
        <w:rPr>
          <w:rStyle w:val="Znakapoznpodarou"/>
        </w:rPr>
        <w:footnoteReference w:id="23"/>
      </w:r>
      <w:r w:rsidRPr="005E0D75">
        <w:t xml:space="preserve"> Do tržní hodnoty není ale možné započítat specifické daňové užitky, které jsou specifické pro konkrétní osobu</w:t>
      </w:r>
      <w:r w:rsidR="0073020F" w:rsidRPr="005E0D75">
        <w:rPr>
          <w:rStyle w:val="Znakapoznpodarou"/>
        </w:rPr>
        <w:footnoteReference w:id="24"/>
      </w:r>
      <w:r w:rsidR="00E11C94" w:rsidRPr="005E0D75">
        <w:t>. Tyto aspekty lze započíst v investičním ocenění pro konkrétního prodejce či zájemce.</w:t>
      </w:r>
    </w:p>
    <w:p w:rsidR="0097771B" w:rsidRPr="005E0D75" w:rsidRDefault="0097771B" w:rsidP="00E57404">
      <w:pPr>
        <w:numPr>
          <w:ilvl w:val="0"/>
          <w:numId w:val="10"/>
        </w:numPr>
      </w:pPr>
      <w:r w:rsidRPr="005E0D75">
        <w:rPr>
          <w:b/>
        </w:rPr>
        <w:t>Forma vyjádření hodnoty</w:t>
      </w:r>
      <w:r w:rsidRPr="005E0D75">
        <w:t>. Různé účely ocenění mají různé požadavky na výsledné vyjádření hodnoty. Např. pro účely účetního výkaznictví je požadováno ocenění jednou absolutní částkou, jiné účely ocenění mohou požadovat vyjádření jedné relativní částky nebo rozpětí částky, např. poskytnutí licence mezi spřízněnými osobami pro daňové účely.</w:t>
      </w:r>
      <w:r w:rsidRPr="005E0D75">
        <w:rPr>
          <w:rStyle w:val="Znakapoznpodarou"/>
        </w:rPr>
        <w:footnoteReference w:id="25"/>
      </w:r>
      <w:r w:rsidR="001768A2" w:rsidRPr="005E0D75">
        <w:t xml:space="preserve"> Oceňovatel v ocenění uvede, jakou formu ocenění provádí.</w:t>
      </w:r>
    </w:p>
    <w:p w:rsidR="00A06D5B" w:rsidRPr="005E0D75" w:rsidRDefault="00A06D5B" w:rsidP="00A06D5B">
      <w:pPr>
        <w:pStyle w:val="Nadpis1"/>
      </w:pPr>
      <w:bookmarkStart w:id="4" w:name="_Toc301173567"/>
      <w:r w:rsidRPr="005E0D75">
        <w:t>Přístupy a metody ocenění</w:t>
      </w:r>
      <w:bookmarkEnd w:id="4"/>
    </w:p>
    <w:p w:rsidR="00A06D5B" w:rsidRPr="005E0D75" w:rsidRDefault="00560164" w:rsidP="008030C8">
      <w:pPr>
        <w:numPr>
          <w:ilvl w:val="0"/>
          <w:numId w:val="10"/>
        </w:numPr>
      </w:pPr>
      <w:r w:rsidRPr="005E0D75">
        <w:rPr>
          <w:b/>
        </w:rPr>
        <w:t>Přístupy k ocenění</w:t>
      </w:r>
      <w:r w:rsidRPr="005E0D75">
        <w:t>. Při ocenění nehmotného aktiva je možné použít tři základní přístupy k ocenění:</w:t>
      </w:r>
      <w:r w:rsidRPr="005E0D75">
        <w:rPr>
          <w:rStyle w:val="Znakapoznpodarou"/>
        </w:rPr>
        <w:footnoteReference w:id="26"/>
      </w:r>
    </w:p>
    <w:p w:rsidR="00560164" w:rsidRPr="005E0D75" w:rsidRDefault="00560164" w:rsidP="00560164">
      <w:pPr>
        <w:numPr>
          <w:ilvl w:val="1"/>
          <w:numId w:val="11"/>
        </w:numPr>
        <w:tabs>
          <w:tab w:val="clear" w:pos="1440"/>
          <w:tab w:val="num" w:pos="720"/>
        </w:tabs>
        <w:ind w:left="720"/>
      </w:pPr>
      <w:r w:rsidRPr="005E0D75">
        <w:t>srovnávací přístup,</w:t>
      </w:r>
    </w:p>
    <w:p w:rsidR="00560164" w:rsidRPr="005E0D75" w:rsidRDefault="00560164" w:rsidP="00560164">
      <w:pPr>
        <w:numPr>
          <w:ilvl w:val="1"/>
          <w:numId w:val="11"/>
        </w:numPr>
        <w:tabs>
          <w:tab w:val="clear" w:pos="1440"/>
          <w:tab w:val="num" w:pos="720"/>
        </w:tabs>
        <w:ind w:left="720"/>
      </w:pPr>
      <w:r w:rsidRPr="005E0D75">
        <w:t>výnosový přístup,</w:t>
      </w:r>
    </w:p>
    <w:p w:rsidR="00560164" w:rsidRPr="005E0D75" w:rsidRDefault="00560164" w:rsidP="00560164">
      <w:pPr>
        <w:numPr>
          <w:ilvl w:val="1"/>
          <w:numId w:val="11"/>
        </w:numPr>
        <w:tabs>
          <w:tab w:val="clear" w:pos="1440"/>
          <w:tab w:val="num" w:pos="720"/>
        </w:tabs>
        <w:ind w:left="720"/>
      </w:pPr>
      <w:r w:rsidRPr="005E0D75">
        <w:t>nákladový přístup.</w:t>
      </w:r>
    </w:p>
    <w:p w:rsidR="00560164" w:rsidRPr="005E0D75" w:rsidRDefault="00560164" w:rsidP="008030C8">
      <w:pPr>
        <w:numPr>
          <w:ilvl w:val="0"/>
          <w:numId w:val="10"/>
        </w:numPr>
      </w:pPr>
      <w:r w:rsidRPr="005E0D75">
        <w:rPr>
          <w:b/>
        </w:rPr>
        <w:t>Metody ocenění</w:t>
      </w:r>
      <w:r w:rsidRPr="005E0D75">
        <w:t xml:space="preserve">. Metody ocenění jsou dílčí postupy a modely, pomocí kterých je hodnota nehmotného aktiva odhadována v rámci toho kterého oceňovacího přístupu. Tato </w:t>
      </w:r>
      <w:r w:rsidRPr="005E0D75">
        <w:lastRenderedPageBreak/>
        <w:t>směrnice uvádí pouze základní používané metody. Pokud je to pro daný účel ocenění a oceňované nehmotné aktivum vhodné a účelné, oceňovatel může použít jiných dostupných metod.</w:t>
      </w:r>
    </w:p>
    <w:p w:rsidR="00030045" w:rsidRPr="005E0D75" w:rsidRDefault="00030045" w:rsidP="00030045">
      <w:pPr>
        <w:pStyle w:val="Nadpis2"/>
      </w:pPr>
      <w:bookmarkStart w:id="5" w:name="_Toc301173568"/>
      <w:r w:rsidRPr="005E0D75">
        <w:t>Srovnávací přístup</w:t>
      </w:r>
      <w:bookmarkEnd w:id="5"/>
    </w:p>
    <w:p w:rsidR="009640BE" w:rsidRPr="005E0D75" w:rsidRDefault="009640BE" w:rsidP="009640BE">
      <w:pPr>
        <w:numPr>
          <w:ilvl w:val="0"/>
          <w:numId w:val="10"/>
        </w:numPr>
      </w:pPr>
      <w:r w:rsidRPr="005E0D75">
        <w:rPr>
          <w:b/>
        </w:rPr>
        <w:t>Srovnávací přístup</w:t>
      </w:r>
      <w:r w:rsidRPr="005E0D75">
        <w:t>. Srovnávací přístup je založen na principu tržní konkurence a rovnováhy. Tento přístup předpokládá, že existují konkurenční trhy shodných nebo alespoň funkčně podobných nehmotných aktiv. Tyto trhy jsou schopny vytvářet rovnovážné ceny, které jsou základem pro ocenění.</w:t>
      </w:r>
      <w:r w:rsidR="006C3E8C" w:rsidRPr="005E0D75">
        <w:t xml:space="preserve"> V rámci srovnávacího přístupu lze rozlišit dvě základní metody porovnání:</w:t>
      </w:r>
    </w:p>
    <w:p w:rsidR="006C3E8C" w:rsidRPr="005E0D75" w:rsidRDefault="006C3E8C" w:rsidP="006C3E8C">
      <w:pPr>
        <w:numPr>
          <w:ilvl w:val="1"/>
          <w:numId w:val="11"/>
        </w:numPr>
        <w:tabs>
          <w:tab w:val="clear" w:pos="1440"/>
          <w:tab w:val="num" w:pos="720"/>
        </w:tabs>
        <w:ind w:left="720"/>
      </w:pPr>
      <w:r w:rsidRPr="005E0D75">
        <w:t>přímé srovnání,</w:t>
      </w:r>
    </w:p>
    <w:p w:rsidR="006C3E8C" w:rsidRPr="005E0D75" w:rsidRDefault="006C3E8C" w:rsidP="006C3E8C">
      <w:pPr>
        <w:numPr>
          <w:ilvl w:val="1"/>
          <w:numId w:val="11"/>
        </w:numPr>
        <w:tabs>
          <w:tab w:val="clear" w:pos="1440"/>
          <w:tab w:val="num" w:pos="720"/>
        </w:tabs>
        <w:ind w:left="720"/>
      </w:pPr>
      <w:r w:rsidRPr="005E0D75">
        <w:t>nepřímé srovnání.</w:t>
      </w:r>
    </w:p>
    <w:p w:rsidR="00EA27A1" w:rsidRPr="005E0D75" w:rsidRDefault="006C3E8C" w:rsidP="009640BE">
      <w:pPr>
        <w:numPr>
          <w:ilvl w:val="0"/>
          <w:numId w:val="10"/>
        </w:numPr>
      </w:pPr>
      <w:r w:rsidRPr="005E0D75">
        <w:rPr>
          <w:b/>
        </w:rPr>
        <w:t>Přímé srovnání</w:t>
      </w:r>
      <w:r w:rsidR="00560164" w:rsidRPr="005E0D75">
        <w:t xml:space="preserve">. </w:t>
      </w:r>
      <w:r w:rsidR="009640BE" w:rsidRPr="005E0D75">
        <w:t xml:space="preserve">V případě velmi podobných nehmotných aktiv </w:t>
      </w:r>
      <w:r w:rsidR="00F06793" w:rsidRPr="005E0D75">
        <w:t xml:space="preserve">(z hlediska funkce a očekávaného užitku) </w:t>
      </w:r>
      <w:r w:rsidR="009640BE" w:rsidRPr="005E0D75">
        <w:t xml:space="preserve">může být srovnávací přístup založen na přímém odvození hodnoty nehmotného aktiva pomocí </w:t>
      </w:r>
      <w:r w:rsidR="00F06793" w:rsidRPr="005E0D75">
        <w:t>jednoduchých statistických metod (průměr, medián)</w:t>
      </w:r>
      <w:r w:rsidR="00C4594D" w:rsidRPr="005E0D75">
        <w:t>, případně dalších korekcí na základně drobných rozdílností aktiv</w:t>
      </w:r>
      <w:r w:rsidR="00F06793" w:rsidRPr="005E0D75">
        <w:t xml:space="preserve">. Tento postup předpokládá rozsáhlejší soubor srovnatelných nehmotných aktiv, tedy existenci dostatečného množství nabídkových </w:t>
      </w:r>
      <w:r w:rsidRPr="005E0D75">
        <w:t xml:space="preserve">či realizovaných </w:t>
      </w:r>
      <w:r w:rsidR="00F06793" w:rsidRPr="005E0D75">
        <w:t>cen. Příkladem takové</w:t>
      </w:r>
      <w:r w:rsidR="00912BB3" w:rsidRPr="005E0D75">
        <w:t>ho</w:t>
      </w:r>
      <w:r w:rsidR="00F06793" w:rsidRPr="005E0D75">
        <w:t xml:space="preserve"> ocenění může být doménové jméno držené pro blokážní účely</w:t>
      </w:r>
      <w:r w:rsidRPr="005E0D75">
        <w:t>, pro které lze nalézt dostatečné množství nabídkových cen na doménových burzách</w:t>
      </w:r>
      <w:r w:rsidR="00F06793" w:rsidRPr="005E0D75">
        <w:t>.</w:t>
      </w:r>
    </w:p>
    <w:p w:rsidR="009640BE" w:rsidRPr="005E0D75" w:rsidRDefault="006C3E8C" w:rsidP="009640BE">
      <w:pPr>
        <w:numPr>
          <w:ilvl w:val="0"/>
          <w:numId w:val="10"/>
        </w:numPr>
      </w:pPr>
      <w:r w:rsidRPr="005E0D75">
        <w:rPr>
          <w:b/>
        </w:rPr>
        <w:t>Nepřímé srovnání.</w:t>
      </w:r>
      <w:r w:rsidRPr="005E0D75">
        <w:t xml:space="preserve"> </w:t>
      </w:r>
      <w:r w:rsidR="00912BB3" w:rsidRPr="005E0D75">
        <w:t xml:space="preserve">V případě funkčně srovnatelných nehmotných aktiv je třeba použít nepřímého srovnání oceňovaného a srovnatelných aktiv pomocí vybraných srovnatelných faktorů. Tyto faktory jsou obvykle kvantitativního i kvalitativního charakteru, např. objem tržeb, výše ziskové marže, kvalita, rozsah a délka právní ochrany, návštěvnost v případě doménového jména, </w:t>
      </w:r>
      <w:r w:rsidR="00DB1E7B" w:rsidRPr="005E0D75">
        <w:t>míra inovace obsažená v předmětu apod.</w:t>
      </w:r>
      <w:r w:rsidR="00912BB3" w:rsidRPr="005E0D75">
        <w:t xml:space="preserve">  </w:t>
      </w:r>
      <w:r w:rsidR="00F06793" w:rsidRPr="005E0D75">
        <w:t xml:space="preserve"> </w:t>
      </w:r>
    </w:p>
    <w:p w:rsidR="00030045" w:rsidRPr="005E0D75" w:rsidRDefault="00030045" w:rsidP="00030045">
      <w:pPr>
        <w:pStyle w:val="Nadpis2"/>
      </w:pPr>
      <w:bookmarkStart w:id="6" w:name="_Toc301173569"/>
      <w:r w:rsidRPr="005E0D75">
        <w:t>Výnosový přístup</w:t>
      </w:r>
      <w:bookmarkEnd w:id="6"/>
    </w:p>
    <w:p w:rsidR="006C3E8C" w:rsidRPr="005E0D75" w:rsidRDefault="006C3E8C" w:rsidP="009640BE">
      <w:pPr>
        <w:numPr>
          <w:ilvl w:val="0"/>
          <w:numId w:val="10"/>
        </w:numPr>
      </w:pPr>
      <w:r w:rsidRPr="005E0D75">
        <w:rPr>
          <w:b/>
        </w:rPr>
        <w:t>Výnosový přístup.</w:t>
      </w:r>
      <w:r w:rsidRPr="005E0D75">
        <w:t xml:space="preserve"> Výnosový přístup je založen na principu ekonomického očekávání</w:t>
      </w:r>
      <w:r w:rsidRPr="005E0D75">
        <w:rPr>
          <w:b/>
        </w:rPr>
        <w:t xml:space="preserve">, </w:t>
      </w:r>
      <w:r w:rsidRPr="005E0D75">
        <w:t xml:space="preserve">tedy myšlence, že zájemce není ochoten za nehmotné aktivum zaplatit více, než je současná hodnota očekávaných příjmů z využití aktiva při míře rizika na úrovni srovnatelné investice. V rámci výnosového přístupu rozeznáváme </w:t>
      </w:r>
      <w:r w:rsidR="004E2FFD" w:rsidRPr="005E0D75">
        <w:t>pět</w:t>
      </w:r>
      <w:r w:rsidRPr="005E0D75">
        <w:t xml:space="preserve"> hlavní</w:t>
      </w:r>
      <w:r w:rsidR="004E2FFD" w:rsidRPr="005E0D75">
        <w:t>ch</w:t>
      </w:r>
      <w:r w:rsidRPr="005E0D75">
        <w:t xml:space="preserve"> metod</w:t>
      </w:r>
      <w:r w:rsidR="004E2FFD" w:rsidRPr="005E0D75">
        <w:t>, z nichž každá je založena na poněkud jiném základě:</w:t>
      </w:r>
      <w:r w:rsidRPr="005E0D75">
        <w:rPr>
          <w:rStyle w:val="Znakapoznpodarou"/>
        </w:rPr>
        <w:footnoteReference w:id="27"/>
      </w:r>
      <w:r w:rsidR="004B2F0C" w:rsidRPr="005E0D75">
        <w:rPr>
          <w:vertAlign w:val="superscript"/>
        </w:rPr>
        <w:t>,</w:t>
      </w:r>
      <w:r w:rsidR="0097771B" w:rsidRPr="005E0D75">
        <w:rPr>
          <w:rStyle w:val="Znakapoznpodarou"/>
        </w:rPr>
        <w:footnoteReference w:id="28"/>
      </w:r>
    </w:p>
    <w:p w:rsidR="006C3E8C" w:rsidRPr="005E0D75" w:rsidRDefault="006C3E8C" w:rsidP="006C3E8C">
      <w:pPr>
        <w:numPr>
          <w:ilvl w:val="1"/>
          <w:numId w:val="11"/>
        </w:numPr>
        <w:tabs>
          <w:tab w:val="clear" w:pos="1440"/>
          <w:tab w:val="num" w:pos="720"/>
        </w:tabs>
        <w:ind w:left="720"/>
      </w:pPr>
      <w:r w:rsidRPr="005E0D75">
        <w:t>metoda licenční analogie,</w:t>
      </w:r>
    </w:p>
    <w:p w:rsidR="006C3E8C" w:rsidRPr="005E0D75" w:rsidRDefault="006C3E8C" w:rsidP="006C3E8C">
      <w:pPr>
        <w:numPr>
          <w:ilvl w:val="1"/>
          <w:numId w:val="11"/>
        </w:numPr>
        <w:tabs>
          <w:tab w:val="clear" w:pos="1440"/>
          <w:tab w:val="num" w:pos="720"/>
        </w:tabs>
        <w:ind w:left="720"/>
      </w:pPr>
      <w:r w:rsidRPr="005E0D75">
        <w:t>metoda prémie</w:t>
      </w:r>
      <w:r w:rsidR="00D37247" w:rsidRPr="005E0D75">
        <w:rPr>
          <w:rStyle w:val="Znakapoznpodarou"/>
        </w:rPr>
        <w:footnoteReference w:id="29"/>
      </w:r>
      <w:r w:rsidRPr="005E0D75">
        <w:t>,</w:t>
      </w:r>
    </w:p>
    <w:p w:rsidR="006C3E8C" w:rsidRPr="005E0D75" w:rsidRDefault="004E2FFD" w:rsidP="006C3E8C">
      <w:pPr>
        <w:numPr>
          <w:ilvl w:val="1"/>
          <w:numId w:val="11"/>
        </w:numPr>
        <w:tabs>
          <w:tab w:val="clear" w:pos="1440"/>
          <w:tab w:val="num" w:pos="720"/>
        </w:tabs>
        <w:ind w:left="720"/>
      </w:pPr>
      <w:r w:rsidRPr="005E0D75">
        <w:t>metoda nadměrných zisků,</w:t>
      </w:r>
    </w:p>
    <w:p w:rsidR="004E2FFD" w:rsidRPr="005E0D75" w:rsidRDefault="004E2FFD" w:rsidP="006C3E8C">
      <w:pPr>
        <w:numPr>
          <w:ilvl w:val="1"/>
          <w:numId w:val="11"/>
        </w:numPr>
        <w:tabs>
          <w:tab w:val="clear" w:pos="1440"/>
          <w:tab w:val="num" w:pos="720"/>
        </w:tabs>
        <w:ind w:left="720"/>
      </w:pPr>
      <w:r w:rsidRPr="005E0D75">
        <w:lastRenderedPageBreak/>
        <w:t>metoda podílu na zisku,</w:t>
      </w:r>
    </w:p>
    <w:p w:rsidR="004E2FFD" w:rsidRPr="005E0D75" w:rsidRDefault="004E2FFD" w:rsidP="006C3E8C">
      <w:pPr>
        <w:numPr>
          <w:ilvl w:val="1"/>
          <w:numId w:val="11"/>
        </w:numPr>
        <w:tabs>
          <w:tab w:val="clear" w:pos="1440"/>
          <w:tab w:val="num" w:pos="720"/>
        </w:tabs>
        <w:ind w:left="720"/>
      </w:pPr>
      <w:r w:rsidRPr="005E0D75">
        <w:t>metoda čisté současné hodnoty.</w:t>
      </w:r>
    </w:p>
    <w:p w:rsidR="009D0EA6" w:rsidRPr="005E0D75" w:rsidRDefault="009D0EA6" w:rsidP="009D0EA6">
      <w:pPr>
        <w:pStyle w:val="Nadpis3"/>
      </w:pPr>
      <w:bookmarkStart w:id="7" w:name="_Toc301173570"/>
      <w:r w:rsidRPr="005E0D75">
        <w:t>Metoda licenční analogie</w:t>
      </w:r>
      <w:bookmarkEnd w:id="7"/>
    </w:p>
    <w:p w:rsidR="00C60F8E" w:rsidRPr="005E0D75" w:rsidRDefault="003125E5" w:rsidP="00C60F8E">
      <w:pPr>
        <w:numPr>
          <w:ilvl w:val="0"/>
          <w:numId w:val="10"/>
        </w:numPr>
      </w:pPr>
      <w:r w:rsidRPr="005E0D75">
        <w:rPr>
          <w:b/>
        </w:rPr>
        <w:t>Metoda licenční analogie</w:t>
      </w:r>
      <w:r w:rsidRPr="005E0D75">
        <w:t xml:space="preserve">. </w:t>
      </w:r>
      <w:r w:rsidR="00C60F8E" w:rsidRPr="005E0D75">
        <w:t>Metoda licenční analogie je prakticky používána jako hlavní metoda ocenění pro samostatně převoditelná a běžně obchodovatelná nehmotná aktiva (zejména duševní vlastnictví). Tato metod</w:t>
      </w:r>
      <w:r w:rsidR="009D53B1" w:rsidRPr="005E0D75">
        <w:t>a</w:t>
      </w:r>
      <w:r w:rsidR="00C60F8E" w:rsidRPr="005E0D75">
        <w:t xml:space="preserve"> je založena na předpokladu úplatného nabytí/poskytnutí licence k oceňovanému nehmotnému aktivu. Hodnota dle licenční analogie je dána součtem hypotetických úspor z vlastnictví nehmotného aktiva a/nebo součtem příjmů z poskytnutí nehmotného aktiva k užívání třetím osobám. Základními parametry metody licenční analogie jsou: </w:t>
      </w:r>
    </w:p>
    <w:p w:rsidR="00C60F8E" w:rsidRPr="005E0D75" w:rsidRDefault="00C60F8E" w:rsidP="00C60F8E">
      <w:pPr>
        <w:numPr>
          <w:ilvl w:val="1"/>
          <w:numId w:val="11"/>
        </w:numPr>
        <w:tabs>
          <w:tab w:val="clear" w:pos="1440"/>
          <w:tab w:val="num" w:pos="720"/>
        </w:tabs>
        <w:ind w:left="720"/>
      </w:pPr>
      <w:r w:rsidRPr="005E0D75">
        <w:t xml:space="preserve">plánovaný rozsah produkce, </w:t>
      </w:r>
    </w:p>
    <w:p w:rsidR="00C60F8E" w:rsidRPr="005E0D75" w:rsidRDefault="009D53B1" w:rsidP="00C60F8E">
      <w:pPr>
        <w:numPr>
          <w:ilvl w:val="1"/>
          <w:numId w:val="11"/>
        </w:numPr>
        <w:tabs>
          <w:tab w:val="clear" w:pos="1440"/>
          <w:tab w:val="num" w:pos="720"/>
        </w:tabs>
        <w:ind w:left="720"/>
      </w:pPr>
      <w:r w:rsidRPr="005E0D75">
        <w:t>sazba</w:t>
      </w:r>
      <w:r w:rsidR="00C60F8E" w:rsidRPr="005E0D75">
        <w:t xml:space="preserve"> licenčního poplatku pro nehmotné aktivum, </w:t>
      </w:r>
    </w:p>
    <w:p w:rsidR="00C60F8E" w:rsidRPr="005E0D75" w:rsidRDefault="00CA321A" w:rsidP="00C60F8E">
      <w:pPr>
        <w:numPr>
          <w:ilvl w:val="1"/>
          <w:numId w:val="11"/>
        </w:numPr>
        <w:tabs>
          <w:tab w:val="clear" w:pos="1440"/>
          <w:tab w:val="num" w:pos="720"/>
        </w:tabs>
        <w:ind w:left="720"/>
      </w:pPr>
      <w:r w:rsidRPr="005E0D75">
        <w:t>životnost</w:t>
      </w:r>
      <w:r w:rsidR="00C60F8E" w:rsidRPr="005E0D75">
        <w:t xml:space="preserve"> aktiva,</w:t>
      </w:r>
    </w:p>
    <w:p w:rsidR="00C60F8E" w:rsidRPr="005E0D75" w:rsidRDefault="00C60F8E" w:rsidP="00C60F8E">
      <w:pPr>
        <w:numPr>
          <w:ilvl w:val="1"/>
          <w:numId w:val="11"/>
        </w:numPr>
        <w:tabs>
          <w:tab w:val="clear" w:pos="1440"/>
          <w:tab w:val="num" w:pos="720"/>
        </w:tabs>
        <w:ind w:left="720"/>
      </w:pPr>
      <w:r w:rsidRPr="005E0D75">
        <w:t>míra zastarání aktiva,</w:t>
      </w:r>
    </w:p>
    <w:p w:rsidR="009C72EE" w:rsidRPr="005E0D75" w:rsidRDefault="009C72EE" w:rsidP="009C72EE">
      <w:pPr>
        <w:numPr>
          <w:ilvl w:val="1"/>
          <w:numId w:val="11"/>
        </w:numPr>
        <w:tabs>
          <w:tab w:val="clear" w:pos="1440"/>
          <w:tab w:val="num" w:pos="720"/>
        </w:tabs>
        <w:ind w:left="720"/>
      </w:pPr>
      <w:r w:rsidRPr="005E0D75">
        <w:t>daňové efekty,</w:t>
      </w:r>
    </w:p>
    <w:p w:rsidR="00C60F8E" w:rsidRPr="005E0D75" w:rsidRDefault="00C60F8E" w:rsidP="00C60F8E">
      <w:pPr>
        <w:numPr>
          <w:ilvl w:val="1"/>
          <w:numId w:val="11"/>
        </w:numPr>
        <w:tabs>
          <w:tab w:val="clear" w:pos="1440"/>
          <w:tab w:val="num" w:pos="720"/>
        </w:tabs>
        <w:ind w:left="720"/>
      </w:pPr>
      <w:r w:rsidRPr="005E0D75">
        <w:t>míra rizika spojená s dosažením očekávaného v</w:t>
      </w:r>
      <w:r w:rsidR="009C72EE" w:rsidRPr="005E0D75">
        <w:t>ýnosu.</w:t>
      </w:r>
    </w:p>
    <w:p w:rsidR="00C60F8E" w:rsidRPr="005E0D75" w:rsidRDefault="00C60F8E" w:rsidP="009460D0">
      <w:pPr>
        <w:numPr>
          <w:ilvl w:val="0"/>
          <w:numId w:val="10"/>
        </w:numPr>
      </w:pPr>
      <w:r w:rsidRPr="005E0D75">
        <w:rPr>
          <w:b/>
          <w:iCs/>
        </w:rPr>
        <w:t>Rozsah produkce</w:t>
      </w:r>
      <w:r w:rsidRPr="005E0D75">
        <w:rPr>
          <w:b/>
        </w:rPr>
        <w:t>.</w:t>
      </w:r>
      <w:r w:rsidRPr="005E0D75">
        <w:t xml:space="preserve"> Rozsah produkce je plánován tak, aby byl v souladu s o</w:t>
      </w:r>
      <w:r w:rsidR="009460D0" w:rsidRPr="005E0D75">
        <w:t>dhadem výší</w:t>
      </w:r>
      <w:r w:rsidRPr="005E0D75">
        <w:t xml:space="preserve"> licenčního poplatku. Obvyklým vyjádřením plánovaného rozsahu produkce jsou čisté tržby za produkci, ve které je užíváno oceňované aktivum. Odhad čistých tržeb vychází z plánu čistých prodejních cen relevantní produkce a plánu prodaného množství této produkce. </w:t>
      </w:r>
      <w:r w:rsidR="009460D0" w:rsidRPr="005E0D75">
        <w:t xml:space="preserve">Čistou prodejní cenou je </w:t>
      </w:r>
      <w:r w:rsidR="009D53B1" w:rsidRPr="005E0D75">
        <w:t xml:space="preserve">obvykle </w:t>
      </w:r>
      <w:r w:rsidR="009460D0" w:rsidRPr="005E0D75">
        <w:t xml:space="preserve">fakturovaná cena snížená o daně spojené s prodejem daného výrobku, pojištění, cla a podobné položky. Je-li obvyklým vypořádáním licenčního obchodu v daném oboru jiná základna rozsahu produkce (např. hmotné jednotky), je vhodné i při ocenění plánovat v těchto jednotkách. Do rozsahu produkce vstupují pouze ta část produkce, která je spojená s užitím nehmotného aktiva (např. </w:t>
      </w:r>
      <w:r w:rsidR="00FE3A87" w:rsidRPr="005E0D75">
        <w:t>prodej jednoho typu výrobku označených předmětnou ochrannou známkou)</w:t>
      </w:r>
      <w:r w:rsidR="009D53B1" w:rsidRPr="005E0D75">
        <w:t>.</w:t>
      </w:r>
    </w:p>
    <w:p w:rsidR="002F5432" w:rsidRPr="005E0D75" w:rsidRDefault="002F5432" w:rsidP="009460D0">
      <w:pPr>
        <w:numPr>
          <w:ilvl w:val="0"/>
          <w:numId w:val="10"/>
        </w:numPr>
      </w:pPr>
      <w:r w:rsidRPr="005E0D75">
        <w:rPr>
          <w:b/>
          <w:iCs/>
        </w:rPr>
        <w:t>K</w:t>
      </w:r>
      <w:r w:rsidR="00C60F8E" w:rsidRPr="005E0D75">
        <w:rPr>
          <w:b/>
          <w:iCs/>
        </w:rPr>
        <w:t xml:space="preserve">omponenty </w:t>
      </w:r>
      <w:r w:rsidRPr="005E0D75">
        <w:rPr>
          <w:b/>
          <w:iCs/>
        </w:rPr>
        <w:t>výrobků</w:t>
      </w:r>
      <w:r w:rsidR="00C60F8E" w:rsidRPr="005E0D75">
        <w:rPr>
          <w:b/>
        </w:rPr>
        <w:t>.</w:t>
      </w:r>
      <w:r w:rsidR="00C60F8E" w:rsidRPr="005E0D75">
        <w:t xml:space="preserve"> Spočívá-li nehmotné aktivum </w:t>
      </w:r>
      <w:r w:rsidRPr="005E0D75">
        <w:t xml:space="preserve">(zejména </w:t>
      </w:r>
      <w:r w:rsidR="00C60F8E" w:rsidRPr="005E0D75">
        <w:t xml:space="preserve">technického charakteru </w:t>
      </w:r>
      <w:r w:rsidRPr="005E0D75">
        <w:t xml:space="preserve">či software) </w:t>
      </w:r>
      <w:r w:rsidR="00C60F8E" w:rsidRPr="005E0D75">
        <w:t xml:space="preserve">v inovaci </w:t>
      </w:r>
      <w:r w:rsidRPr="005E0D75">
        <w:t xml:space="preserve">pouze </w:t>
      </w:r>
      <w:r w:rsidR="00C60F8E" w:rsidRPr="005E0D75">
        <w:t xml:space="preserve">části vyráběného a prodávaného produktu, </w:t>
      </w:r>
      <w:r w:rsidRPr="005E0D75">
        <w:t>analyzuje oceňovatel, jakou měrou se inovovaná část podílí na daném výrobku a v návaznosti na to určí, zda je obvyklé, aby byla sazba licenčního poplatku vztažena na celou prodejní cenu výrobku nebo pouze na část výrobku, ve které je oceňovaná inovace obsažena. Při této analýze oceňovatel zváží také množství ostatních nehmotných aktiv obsažených na výrobku a jejich vliv na prodejnost výrobku v relaci s nehmotným aktivem oceňovaným.</w:t>
      </w:r>
    </w:p>
    <w:p w:rsidR="00CA321A" w:rsidRPr="005E0D75" w:rsidRDefault="00CA321A" w:rsidP="00CA321A">
      <w:pPr>
        <w:numPr>
          <w:ilvl w:val="0"/>
          <w:numId w:val="10"/>
        </w:numPr>
      </w:pPr>
      <w:r w:rsidRPr="005E0D75">
        <w:rPr>
          <w:b/>
          <w:iCs/>
        </w:rPr>
        <w:t>Sazba</w:t>
      </w:r>
      <w:r w:rsidR="00C60F8E" w:rsidRPr="005E0D75">
        <w:rPr>
          <w:b/>
          <w:iCs/>
        </w:rPr>
        <w:t xml:space="preserve"> licenčního poplatku</w:t>
      </w:r>
      <w:r w:rsidR="00C60F8E" w:rsidRPr="005E0D75">
        <w:t xml:space="preserve">. </w:t>
      </w:r>
      <w:r w:rsidRPr="005E0D75">
        <w:t>Sazba l</w:t>
      </w:r>
      <w:r w:rsidR="00C60F8E" w:rsidRPr="005E0D75">
        <w:t>icenční</w:t>
      </w:r>
      <w:r w:rsidRPr="005E0D75">
        <w:t>ho poplat</w:t>
      </w:r>
      <w:r w:rsidR="00C60F8E" w:rsidRPr="005E0D75">
        <w:t>k</w:t>
      </w:r>
      <w:r w:rsidRPr="005E0D75">
        <w:t>u</w:t>
      </w:r>
      <w:r w:rsidR="00C60F8E" w:rsidRPr="005E0D75">
        <w:t xml:space="preserve"> je odhadován</w:t>
      </w:r>
      <w:r w:rsidRPr="005E0D75">
        <w:t>a</w:t>
      </w:r>
      <w:r w:rsidR="00C60F8E" w:rsidRPr="005E0D75">
        <w:t xml:space="preserve"> ve formě slučitelné s odhadem rozsahu plánované produkce, obvykle jako procento z čisté prodejní ceny příslušného výrobku. Při odhadu tohoto parametru vychází oceňovatel z tržní</w:t>
      </w:r>
      <w:r w:rsidRPr="005E0D75">
        <w:t>ch</w:t>
      </w:r>
      <w:r w:rsidR="00C60F8E" w:rsidRPr="005E0D75">
        <w:t xml:space="preserve"> dat za </w:t>
      </w:r>
      <w:r w:rsidRPr="005E0D75">
        <w:t>obdobná</w:t>
      </w:r>
      <w:r w:rsidR="00C60F8E" w:rsidRPr="005E0D75">
        <w:t xml:space="preserve"> </w:t>
      </w:r>
      <w:r w:rsidRPr="005E0D75">
        <w:t>nehmotná aktiva</w:t>
      </w:r>
      <w:r w:rsidR="00C60F8E" w:rsidRPr="005E0D75">
        <w:t xml:space="preserve">. Při odhadu výše </w:t>
      </w:r>
      <w:r w:rsidRPr="005E0D75">
        <w:t xml:space="preserve">sazby </w:t>
      </w:r>
      <w:r w:rsidR="00C60F8E" w:rsidRPr="005E0D75">
        <w:t xml:space="preserve">licenčního poplatku zváží oceňovatel faktory, které jsou obvykle významné při </w:t>
      </w:r>
      <w:r w:rsidRPr="005E0D75">
        <w:t xml:space="preserve">běžném </w:t>
      </w:r>
      <w:r w:rsidR="00C60F8E" w:rsidRPr="005E0D75">
        <w:t xml:space="preserve">obchodování těmito </w:t>
      </w:r>
      <w:r w:rsidRPr="005E0D75">
        <w:t xml:space="preserve">aktivy </w:t>
      </w:r>
      <w:r w:rsidR="00C60F8E" w:rsidRPr="005E0D75">
        <w:t xml:space="preserve">na </w:t>
      </w:r>
      <w:r w:rsidRPr="005E0D75">
        <w:t xml:space="preserve">licenčním </w:t>
      </w:r>
      <w:r w:rsidR="00C60F8E" w:rsidRPr="005E0D75">
        <w:t>trhu, zejména</w:t>
      </w:r>
      <w:r w:rsidRPr="005E0D75">
        <w:t>:</w:t>
      </w:r>
    </w:p>
    <w:p w:rsidR="00CA321A" w:rsidRPr="005E0D75" w:rsidRDefault="00CA321A" w:rsidP="00CA321A">
      <w:pPr>
        <w:numPr>
          <w:ilvl w:val="1"/>
          <w:numId w:val="11"/>
        </w:numPr>
        <w:tabs>
          <w:tab w:val="clear" w:pos="1440"/>
          <w:tab w:val="num" w:pos="720"/>
        </w:tabs>
        <w:ind w:left="720"/>
      </w:pPr>
      <w:r w:rsidRPr="005E0D75">
        <w:t xml:space="preserve">formu a </w:t>
      </w:r>
      <w:r w:rsidR="00C60F8E" w:rsidRPr="005E0D75">
        <w:t>sílu právní ochrany</w:t>
      </w:r>
      <w:r w:rsidRPr="005E0D75">
        <w:t xml:space="preserve"> aktiva</w:t>
      </w:r>
      <w:r w:rsidR="00C60F8E" w:rsidRPr="005E0D75">
        <w:t xml:space="preserve">, </w:t>
      </w:r>
    </w:p>
    <w:p w:rsidR="00CA321A" w:rsidRPr="005E0D75" w:rsidRDefault="00CA321A" w:rsidP="00CA321A">
      <w:pPr>
        <w:numPr>
          <w:ilvl w:val="1"/>
          <w:numId w:val="11"/>
        </w:numPr>
        <w:tabs>
          <w:tab w:val="clear" w:pos="1440"/>
          <w:tab w:val="num" w:pos="720"/>
        </w:tabs>
        <w:ind w:left="720"/>
      </w:pPr>
      <w:r w:rsidRPr="005E0D75">
        <w:t>věcný a teritoriální rozsah právní ochrany,</w:t>
      </w:r>
    </w:p>
    <w:p w:rsidR="00CA321A" w:rsidRPr="005E0D75" w:rsidRDefault="00CA321A" w:rsidP="00CA321A">
      <w:pPr>
        <w:numPr>
          <w:ilvl w:val="1"/>
          <w:numId w:val="11"/>
        </w:numPr>
        <w:tabs>
          <w:tab w:val="clear" w:pos="1440"/>
          <w:tab w:val="num" w:pos="720"/>
        </w:tabs>
        <w:ind w:left="720"/>
      </w:pPr>
      <w:r w:rsidRPr="005E0D75">
        <w:t xml:space="preserve">míru jedinečnosti aktiva, </w:t>
      </w:r>
    </w:p>
    <w:p w:rsidR="00CA321A" w:rsidRPr="005E0D75" w:rsidRDefault="00CA321A" w:rsidP="00CA321A">
      <w:pPr>
        <w:numPr>
          <w:ilvl w:val="1"/>
          <w:numId w:val="11"/>
        </w:numPr>
        <w:tabs>
          <w:tab w:val="clear" w:pos="1440"/>
          <w:tab w:val="num" w:pos="720"/>
        </w:tabs>
        <w:ind w:left="720"/>
      </w:pPr>
      <w:r w:rsidRPr="005E0D75">
        <w:t>míru exkluzivity práv k aktivu (výlučné či nevýlučné právo),</w:t>
      </w:r>
    </w:p>
    <w:p w:rsidR="00CA321A" w:rsidRPr="005E0D75" w:rsidRDefault="00CA321A" w:rsidP="00CA321A">
      <w:pPr>
        <w:numPr>
          <w:ilvl w:val="1"/>
          <w:numId w:val="11"/>
        </w:numPr>
        <w:tabs>
          <w:tab w:val="clear" w:pos="1440"/>
          <w:tab w:val="num" w:pos="720"/>
        </w:tabs>
        <w:ind w:left="720"/>
      </w:pPr>
      <w:r w:rsidRPr="005E0D75">
        <w:lastRenderedPageBreak/>
        <w:t>délku zbytkové ochrany,</w:t>
      </w:r>
    </w:p>
    <w:p w:rsidR="00CA321A" w:rsidRPr="005E0D75" w:rsidRDefault="00CA321A" w:rsidP="00CA321A">
      <w:pPr>
        <w:numPr>
          <w:ilvl w:val="1"/>
          <w:numId w:val="11"/>
        </w:numPr>
        <w:tabs>
          <w:tab w:val="clear" w:pos="1440"/>
          <w:tab w:val="num" w:pos="720"/>
        </w:tabs>
        <w:ind w:left="720"/>
      </w:pPr>
      <w:r w:rsidRPr="005E0D75">
        <w:t>míru provozní ziskovosti</w:t>
      </w:r>
      <w:r w:rsidR="00C60F8E" w:rsidRPr="005E0D75">
        <w:t xml:space="preserve"> produkce</w:t>
      </w:r>
      <w:r w:rsidRPr="005E0D75">
        <w:t>,</w:t>
      </w:r>
    </w:p>
    <w:p w:rsidR="00C60F8E" w:rsidRPr="005E0D75" w:rsidRDefault="00C60F8E" w:rsidP="00CA321A">
      <w:pPr>
        <w:numPr>
          <w:ilvl w:val="1"/>
          <w:numId w:val="11"/>
        </w:numPr>
        <w:tabs>
          <w:tab w:val="clear" w:pos="1440"/>
          <w:tab w:val="num" w:pos="720"/>
        </w:tabs>
        <w:ind w:left="720"/>
      </w:pPr>
      <w:r w:rsidRPr="005E0D75">
        <w:t xml:space="preserve">stupeň </w:t>
      </w:r>
      <w:r w:rsidR="009D53B1" w:rsidRPr="005E0D75">
        <w:t>zralosti</w:t>
      </w:r>
      <w:r w:rsidRPr="005E0D75">
        <w:t xml:space="preserve"> aktiva.  </w:t>
      </w:r>
    </w:p>
    <w:p w:rsidR="00C60F8E" w:rsidRPr="005E0D75" w:rsidRDefault="00C60F8E" w:rsidP="00CA321A">
      <w:pPr>
        <w:numPr>
          <w:ilvl w:val="0"/>
          <w:numId w:val="10"/>
        </w:numPr>
      </w:pPr>
      <w:r w:rsidRPr="005E0D75">
        <w:rPr>
          <w:b/>
          <w:iCs/>
        </w:rPr>
        <w:t>Životnost aktiva</w:t>
      </w:r>
      <w:r w:rsidRPr="005E0D75">
        <w:t xml:space="preserve">. </w:t>
      </w:r>
      <w:r w:rsidR="00CA321A" w:rsidRPr="005E0D75">
        <w:t>Životností aktiva použitelnou pro ocenění se rozumí zbývající doba využitelnosti nehmotného aktiva ve výrobě. Tato doba se odhadne s přihlédnutím k</w:t>
      </w:r>
      <w:r w:rsidR="00E00B8A" w:rsidRPr="005E0D75">
        <w:t xml:space="preserve"> zejména</w:t>
      </w:r>
      <w:r w:rsidR="00CA321A" w:rsidRPr="005E0D75">
        <w:t xml:space="preserve"> zbývající právní životnosti aktiva, množství podobných nehmotných aktiv na trhu a obvyklém inovačním cyklu příslušného odvětví. </w:t>
      </w:r>
    </w:p>
    <w:p w:rsidR="00E00B8A" w:rsidRPr="005E0D75" w:rsidRDefault="00C60F8E" w:rsidP="00E00B8A">
      <w:pPr>
        <w:numPr>
          <w:ilvl w:val="0"/>
          <w:numId w:val="10"/>
        </w:numPr>
      </w:pPr>
      <w:r w:rsidRPr="005E0D75">
        <w:rPr>
          <w:b/>
          <w:iCs/>
        </w:rPr>
        <w:t>Míra zastarání aktiva</w:t>
      </w:r>
      <w:r w:rsidRPr="005E0D75">
        <w:t xml:space="preserve">. Oceňovatel zohlední v ocenění </w:t>
      </w:r>
      <w:r w:rsidR="00E00B8A" w:rsidRPr="005E0D75">
        <w:t xml:space="preserve">riziko </w:t>
      </w:r>
      <w:r w:rsidRPr="005E0D75">
        <w:t>postupné</w:t>
      </w:r>
      <w:r w:rsidR="00E00B8A" w:rsidRPr="005E0D75">
        <w:t>ho</w:t>
      </w:r>
      <w:r w:rsidRPr="005E0D75">
        <w:t xml:space="preserve"> zastarávání aktiva </w:t>
      </w:r>
      <w:r w:rsidR="00E00B8A" w:rsidRPr="005E0D75">
        <w:t xml:space="preserve">(technického charakteru) </w:t>
      </w:r>
      <w:r w:rsidRPr="005E0D75">
        <w:t>v čase.</w:t>
      </w:r>
      <w:r w:rsidR="00E00B8A" w:rsidRPr="005E0D75">
        <w:t xml:space="preserve"> Zohlednění tohoto parametru v ocenění vybraných nehmotných aktiv vychází z následujících skutečností:</w:t>
      </w:r>
    </w:p>
    <w:p w:rsidR="009C72EE" w:rsidRPr="005E0D75" w:rsidRDefault="00E00B8A" w:rsidP="00E00B8A">
      <w:pPr>
        <w:numPr>
          <w:ilvl w:val="1"/>
          <w:numId w:val="11"/>
        </w:numPr>
        <w:tabs>
          <w:tab w:val="clear" w:pos="1440"/>
          <w:tab w:val="num" w:pos="720"/>
        </w:tabs>
        <w:ind w:left="720"/>
      </w:pPr>
      <w:r w:rsidRPr="005E0D75">
        <w:t>některá nehmotná aktiva (zejména zákaznické vztahy) jsou oceňována jako celek, přičemž jsou tvořena dílčími položkami; tyto položky v čase ubývají</w:t>
      </w:r>
      <w:r w:rsidR="009C72EE" w:rsidRPr="005E0D75">
        <w:t xml:space="preserve"> a jsou nahrazovány novými jednotkami, které nejsou k datu ocenění </w:t>
      </w:r>
      <w:r w:rsidR="009D53B1" w:rsidRPr="005E0D75">
        <w:t xml:space="preserve">obvykle </w:t>
      </w:r>
      <w:r w:rsidR="009C72EE" w:rsidRPr="005E0D75">
        <w:t>předmětem ocenění;</w:t>
      </w:r>
    </w:p>
    <w:p w:rsidR="00C60F8E" w:rsidRPr="005E0D75" w:rsidRDefault="009C72EE" w:rsidP="00E00B8A">
      <w:pPr>
        <w:numPr>
          <w:ilvl w:val="1"/>
          <w:numId w:val="11"/>
        </w:numPr>
        <w:tabs>
          <w:tab w:val="clear" w:pos="1440"/>
          <w:tab w:val="num" w:pos="720"/>
        </w:tabs>
        <w:ind w:left="720"/>
      </w:pPr>
      <w:r w:rsidRPr="005E0D75">
        <w:t>běžné transakce s nehmotnými aktivy technického charakteru a software podléhají v čase morálnímu zastarání a nutností zásadní obnovy, která se v</w:t>
      </w:r>
      <w:r w:rsidR="009D53B1" w:rsidRPr="005E0D75">
        <w:t> praktickém obchodování</w:t>
      </w:r>
      <w:r w:rsidRPr="005E0D75">
        <w:t xml:space="preserve"> promítá do úpravy cenových podmínek během doby trvání transakce.</w:t>
      </w:r>
    </w:p>
    <w:p w:rsidR="009C72EE" w:rsidRPr="005E0D75" w:rsidRDefault="009C72EE" w:rsidP="009C72EE">
      <w:pPr>
        <w:numPr>
          <w:ilvl w:val="0"/>
          <w:numId w:val="11"/>
        </w:numPr>
      </w:pPr>
      <w:r w:rsidRPr="005E0D75">
        <w:rPr>
          <w:b/>
          <w:iCs/>
        </w:rPr>
        <w:t>Daňové efekty</w:t>
      </w:r>
      <w:r w:rsidRPr="005E0D75">
        <w:t xml:space="preserve">. Celkové licenční příjmy představují zdanitelný příjem, oceňovatel tedy sníží odhadnuté licenční platby o daňový výdaj, vzniklý na základě této povinnosti. V případě, že účel ocenění a použitá metoda umožňuje získat úspory z titulu daňové odepisovatelnosti aktiva, započítají se do hodnoty také tyto užitky. </w:t>
      </w:r>
    </w:p>
    <w:p w:rsidR="00C60F8E" w:rsidRPr="005E0D75" w:rsidRDefault="00C60F8E" w:rsidP="009C72EE">
      <w:pPr>
        <w:numPr>
          <w:ilvl w:val="0"/>
          <w:numId w:val="11"/>
        </w:numPr>
      </w:pPr>
      <w:r w:rsidRPr="005E0D75">
        <w:rPr>
          <w:b/>
          <w:iCs/>
        </w:rPr>
        <w:t>Míra rizika aktiva</w:t>
      </w:r>
      <w:r w:rsidRPr="005E0D75">
        <w:t xml:space="preserve">. Míra rizika představuje pravděpodobnost, že očekávané licenční </w:t>
      </w:r>
      <w:r w:rsidR="009C72EE" w:rsidRPr="005E0D75">
        <w:t xml:space="preserve">příjmy </w:t>
      </w:r>
      <w:r w:rsidRPr="005E0D75">
        <w:t>z oceňovaného aktiva</w:t>
      </w:r>
      <w:r w:rsidR="009C72EE" w:rsidRPr="005E0D75">
        <w:t xml:space="preserve"> se budou odlišovat od plánovaných</w:t>
      </w:r>
      <w:r w:rsidRPr="005E0D75">
        <w:t xml:space="preserve">. </w:t>
      </w:r>
      <w:r w:rsidR="009C72EE" w:rsidRPr="005E0D75">
        <w:t xml:space="preserve">Míru rizika lze promítnout do ocenění na úrovni očekávaného výnosu nebo na úrovni požadované výnosnosti tak, aby nedošlo k dvojímu započtení rizik, případně k opomenutí některého významného rizika. </w:t>
      </w:r>
      <w:r w:rsidR="0097771B" w:rsidRPr="005E0D75">
        <w:t>Je-li pro ocenění použito promítnutí rizika formou požadované výnosnosti, v</w:t>
      </w:r>
      <w:r w:rsidRPr="005E0D75">
        <w:t xml:space="preserve">ýše požadované výnosnosti se odhadne minimálně na úrovni požadované výnosnosti podniku jako celku </w:t>
      </w:r>
      <w:r w:rsidR="0097771B" w:rsidRPr="005E0D75">
        <w:t xml:space="preserve">běžného zájemce o oceňované </w:t>
      </w:r>
      <w:r w:rsidRPr="005E0D75">
        <w:t>aktiv</w:t>
      </w:r>
      <w:r w:rsidR="0097771B" w:rsidRPr="005E0D75">
        <w:t>um</w:t>
      </w:r>
      <w:r w:rsidRPr="005E0D75">
        <w:t>.</w:t>
      </w:r>
      <w:r w:rsidR="0097771B" w:rsidRPr="005E0D75">
        <w:t xml:space="preserve"> Při volbě příslušného modelu oceňovatel zohlední nejen míru rizika spojeného s dosažením budoucích příjmů z daného aktiva, ale také reálné možnosti financování samostatné koupě příslušného nehmotného aktiva (vlastním nebo cizím kapitálem).</w:t>
      </w:r>
    </w:p>
    <w:p w:rsidR="009D0EA6" w:rsidRPr="005E0D75" w:rsidRDefault="009D0EA6" w:rsidP="009D0EA6">
      <w:pPr>
        <w:pStyle w:val="Nadpis3"/>
      </w:pPr>
      <w:bookmarkStart w:id="8" w:name="_Toc301173571"/>
      <w:r w:rsidRPr="005E0D75">
        <w:t>Metoda prémií</w:t>
      </w:r>
      <w:bookmarkEnd w:id="8"/>
    </w:p>
    <w:p w:rsidR="0097771B" w:rsidRPr="005E0D75" w:rsidRDefault="0097771B" w:rsidP="00605562">
      <w:pPr>
        <w:numPr>
          <w:ilvl w:val="0"/>
          <w:numId w:val="11"/>
        </w:numPr>
      </w:pPr>
      <w:r w:rsidRPr="005E0D75">
        <w:rPr>
          <w:b/>
        </w:rPr>
        <w:t>Metoda prémie</w:t>
      </w:r>
      <w:r w:rsidR="00605562" w:rsidRPr="005E0D75">
        <w:t>. Tato výnosová metoda staví na předpokladu, že tržní zájemce nebude chtít za nehmotné aktivum zaplatit více než je dodatečných přínos v podobě určité hodnotové prémie, kterou oceňované aktivum přináší zájemci v porovnání s výrobky, které obdobné nehmotné aktivum neužívají</w:t>
      </w:r>
      <w:r w:rsidR="00457F37" w:rsidRPr="005E0D75">
        <w:t xml:space="preserve"> (např. rozdíl značkových a neznačkových výrobků)</w:t>
      </w:r>
      <w:r w:rsidR="00605562" w:rsidRPr="005E0D75">
        <w:t xml:space="preserve">.  </w:t>
      </w:r>
    </w:p>
    <w:p w:rsidR="00C22ECA" w:rsidRPr="005E0D75" w:rsidRDefault="00457F37" w:rsidP="00605562">
      <w:pPr>
        <w:numPr>
          <w:ilvl w:val="0"/>
          <w:numId w:val="11"/>
        </w:numPr>
      </w:pPr>
      <w:r w:rsidRPr="005E0D75">
        <w:rPr>
          <w:b/>
        </w:rPr>
        <w:t>Formy prémií</w:t>
      </w:r>
      <w:r w:rsidRPr="005E0D75">
        <w:t xml:space="preserve">. Prémie může být tvořena jednak na úrovni celkového zisku podniku, případně může být identifikována na úrovni rozdílných cen výrobků či rozdílné nákladové náročnosti z titulu </w:t>
      </w:r>
      <w:r w:rsidR="009613F2" w:rsidRPr="005E0D75">
        <w:t xml:space="preserve">zavedení </w:t>
      </w:r>
      <w:r w:rsidRPr="005E0D75">
        <w:t>úsporné technologie.</w:t>
      </w:r>
      <w:r w:rsidR="00362FA7" w:rsidRPr="005E0D75">
        <w:t xml:space="preserve"> Tato prémie však může být identifikovatelná i v jiných veličinách, např. v rozdílném riziku </w:t>
      </w:r>
      <w:r w:rsidR="00D37247" w:rsidRPr="005E0D75">
        <w:t xml:space="preserve">podnikání </w:t>
      </w:r>
      <w:r w:rsidR="00362FA7" w:rsidRPr="005E0D75">
        <w:t>či investiční náročnosti.</w:t>
      </w:r>
    </w:p>
    <w:p w:rsidR="009613F2" w:rsidRPr="005E0D75" w:rsidRDefault="009613F2" w:rsidP="009613F2">
      <w:pPr>
        <w:numPr>
          <w:ilvl w:val="0"/>
          <w:numId w:val="11"/>
        </w:numPr>
      </w:pPr>
      <w:r w:rsidRPr="005E0D75">
        <w:rPr>
          <w:b/>
        </w:rPr>
        <w:t>Předpoklady použití metody</w:t>
      </w:r>
      <w:r w:rsidRPr="005E0D75">
        <w:t xml:space="preserve">. Tato výnosová metoda je prakticky použitelná v případech, kdy je možné nalézt srovnatelnou výrobu, která používá alespoň méně </w:t>
      </w:r>
      <w:r w:rsidRPr="005E0D75">
        <w:lastRenderedPageBreak/>
        <w:t>vyspělá nehmotná aktiva v porovnání s aktivem oceňovaným (např. ocenění ochranné známka srovnáním s cenami výrobků privátních značek obchodních řetězců u potravin). Pokud není nalezena výroba zcela bez nehmotných aktiv, je třeba přihlédnout k tomu, že vzniklý rozdíl je jistým způsobem zkreslen.</w:t>
      </w:r>
      <w:r w:rsidR="00A86782" w:rsidRPr="005E0D75">
        <w:t xml:space="preserve"> Oceňovatel také promítne do odhadu </w:t>
      </w:r>
      <w:r w:rsidR="009B232C" w:rsidRPr="005E0D75">
        <w:t xml:space="preserve">případnou </w:t>
      </w:r>
      <w:r w:rsidR="00A86782" w:rsidRPr="005E0D75">
        <w:t>rozdílnou kvalitu obou výrobků.</w:t>
      </w:r>
    </w:p>
    <w:p w:rsidR="009613F2" w:rsidRPr="005E0D75" w:rsidRDefault="009613F2" w:rsidP="00605562">
      <w:pPr>
        <w:numPr>
          <w:ilvl w:val="0"/>
          <w:numId w:val="11"/>
        </w:numPr>
      </w:pPr>
      <w:r w:rsidRPr="005E0D75">
        <w:rPr>
          <w:b/>
        </w:rPr>
        <w:t>Podíl aktiva na prémii</w:t>
      </w:r>
      <w:r w:rsidRPr="005E0D75">
        <w:t>. Tato metoda je vhodná zejména pro ocenění klíčového nehmotného aktiva podniku, kterému je možné přisoudit tuto hodnotovou prémii. Pokud v podniku existuje více hodnotných nehmotných aktiv, je třeba posoudit i hodnotový efekt těchto ostatních aktiv ať už podílem na výši prémie či jinak.</w:t>
      </w:r>
    </w:p>
    <w:p w:rsidR="009613F2" w:rsidRPr="005E0D75" w:rsidRDefault="009613F2" w:rsidP="00605562">
      <w:pPr>
        <w:numPr>
          <w:ilvl w:val="0"/>
          <w:numId w:val="11"/>
        </w:numPr>
      </w:pPr>
      <w:r w:rsidRPr="005E0D75">
        <w:t xml:space="preserve">Ostatní parametry metody (životnost, míra zastarání, </w:t>
      </w:r>
      <w:r w:rsidR="008551AF" w:rsidRPr="005E0D75">
        <w:t xml:space="preserve">daňové efekty, </w:t>
      </w:r>
      <w:r w:rsidRPr="005E0D75">
        <w:t xml:space="preserve">míra rizika) se použijí analogicky jako u metody licenční analogie. </w:t>
      </w:r>
    </w:p>
    <w:p w:rsidR="009D0EA6" w:rsidRPr="005E0D75" w:rsidRDefault="009D0EA6" w:rsidP="009D0EA6">
      <w:pPr>
        <w:pStyle w:val="Nadpis3"/>
      </w:pPr>
      <w:bookmarkStart w:id="9" w:name="_Toc301173572"/>
      <w:r w:rsidRPr="005E0D75">
        <w:t>Metoda nadměrných zisků</w:t>
      </w:r>
      <w:bookmarkEnd w:id="9"/>
    </w:p>
    <w:p w:rsidR="009D0EA6" w:rsidRPr="005E0D75" w:rsidRDefault="009D0EA6" w:rsidP="009D0EA6">
      <w:pPr>
        <w:numPr>
          <w:ilvl w:val="0"/>
          <w:numId w:val="11"/>
        </w:numPr>
      </w:pPr>
      <w:r w:rsidRPr="005E0D75">
        <w:rPr>
          <w:b/>
        </w:rPr>
        <w:t>Metoda nadměrných zisků</w:t>
      </w:r>
      <w:r w:rsidRPr="005E0D75">
        <w:t xml:space="preserve">. Metoda </w:t>
      </w:r>
      <w:r w:rsidR="005C2733" w:rsidRPr="005E0D75">
        <w:t xml:space="preserve">nadměrných </w:t>
      </w:r>
      <w:r w:rsidRPr="005E0D75">
        <w:t>zisků staví na hypotéze vlastnictví oceňovaného nehmotného aktiva a současném nájmu všech ostatních akt</w:t>
      </w:r>
      <w:r w:rsidR="005C2733" w:rsidRPr="005E0D75">
        <w:t>iv užívaných při výrobě</w:t>
      </w:r>
      <w:r w:rsidRPr="005E0D75">
        <w:t xml:space="preserve">, ve které je uplatněno oceňované nehmotné aktivum, od třetích osob. Hodnotu </w:t>
      </w:r>
      <w:r w:rsidR="005C2733" w:rsidRPr="005E0D75">
        <w:t xml:space="preserve">oceňovaného nehmotného aktiva pak </w:t>
      </w:r>
      <w:r w:rsidRPr="005E0D75">
        <w:t xml:space="preserve">tvoří současná hodnota </w:t>
      </w:r>
      <w:r w:rsidR="005C2733" w:rsidRPr="005E0D75">
        <w:t>zisků vypočtených jako rozdíl mezi celkovými provozními zisky podniku a výši ekonomického nájemného za ostatní užitá aktiva</w:t>
      </w:r>
      <w:r w:rsidRPr="005E0D75">
        <w:t>.</w:t>
      </w:r>
    </w:p>
    <w:p w:rsidR="005C2733" w:rsidRPr="005E0D75" w:rsidRDefault="005C2733" w:rsidP="009D0EA6">
      <w:pPr>
        <w:numPr>
          <w:ilvl w:val="0"/>
          <w:numId w:val="11"/>
        </w:numPr>
      </w:pPr>
      <w:r w:rsidRPr="005E0D75">
        <w:rPr>
          <w:b/>
        </w:rPr>
        <w:t xml:space="preserve">Použití metody. </w:t>
      </w:r>
      <w:r w:rsidRPr="005E0D75">
        <w:t xml:space="preserve">Tato metoda je vhodná pro ocenění významných nehmotných aktiv podniku, na kterých je založena soutěžní výhoda v daném oboru a která obvykle nejsou pronajatelná formou licence, příp. vůbec samostatně převoditelná (např. zákaznické vztahy, nedokončený výzkum a vývoj, unikátní licence k podnikání, významné doménové jméno). </w:t>
      </w:r>
      <w:r w:rsidR="00860BB2" w:rsidRPr="005E0D75">
        <w:t>Zvláštní význam má tato metoda při alokaci pořizovacího nákladu podnikové kombinace pro účely IFRS 3.</w:t>
      </w:r>
    </w:p>
    <w:p w:rsidR="009D0EA6" w:rsidRPr="005E0D75" w:rsidRDefault="009D0EA6" w:rsidP="00860BB2">
      <w:pPr>
        <w:numPr>
          <w:ilvl w:val="0"/>
          <w:numId w:val="11"/>
        </w:numPr>
      </w:pPr>
      <w:r w:rsidRPr="005E0D75">
        <w:t xml:space="preserve">Základními parametry metody </w:t>
      </w:r>
      <w:r w:rsidR="00860BB2" w:rsidRPr="005E0D75">
        <w:t xml:space="preserve">nadměrných </w:t>
      </w:r>
      <w:r w:rsidRPr="005E0D75">
        <w:t>zisků jsou:</w:t>
      </w:r>
    </w:p>
    <w:p w:rsidR="009D0EA6" w:rsidRPr="005E0D75" w:rsidRDefault="00860BB2" w:rsidP="00860BB2">
      <w:pPr>
        <w:numPr>
          <w:ilvl w:val="1"/>
          <w:numId w:val="11"/>
        </w:numPr>
        <w:tabs>
          <w:tab w:val="clear" w:pos="1440"/>
          <w:tab w:val="num" w:pos="720"/>
        </w:tabs>
        <w:ind w:left="720"/>
      </w:pPr>
      <w:r w:rsidRPr="005E0D75">
        <w:t xml:space="preserve">zisk </w:t>
      </w:r>
      <w:r w:rsidR="009D0EA6" w:rsidRPr="005E0D75">
        <w:t>za relevantní produkci,</w:t>
      </w:r>
    </w:p>
    <w:p w:rsidR="009D0EA6" w:rsidRPr="005E0D75" w:rsidRDefault="009D0EA6" w:rsidP="00860BB2">
      <w:pPr>
        <w:numPr>
          <w:ilvl w:val="1"/>
          <w:numId w:val="11"/>
        </w:numPr>
        <w:tabs>
          <w:tab w:val="clear" w:pos="1440"/>
          <w:tab w:val="num" w:pos="720"/>
        </w:tabs>
        <w:ind w:left="720"/>
      </w:pPr>
      <w:r w:rsidRPr="005E0D75">
        <w:t xml:space="preserve">hodnoty identifikovatelných </w:t>
      </w:r>
      <w:r w:rsidR="00860BB2" w:rsidRPr="005E0D75">
        <w:t xml:space="preserve">ostatních </w:t>
      </w:r>
      <w:r w:rsidRPr="005E0D75">
        <w:t>aktiv,</w:t>
      </w:r>
    </w:p>
    <w:p w:rsidR="009D0EA6" w:rsidRPr="005E0D75" w:rsidRDefault="00860BB2" w:rsidP="00860BB2">
      <w:pPr>
        <w:numPr>
          <w:ilvl w:val="1"/>
          <w:numId w:val="11"/>
        </w:numPr>
        <w:tabs>
          <w:tab w:val="clear" w:pos="1440"/>
          <w:tab w:val="num" w:pos="720"/>
        </w:tabs>
        <w:ind w:left="720"/>
      </w:pPr>
      <w:r w:rsidRPr="005E0D75">
        <w:t xml:space="preserve">výše ekonomického </w:t>
      </w:r>
      <w:r w:rsidR="009D0EA6" w:rsidRPr="005E0D75">
        <w:t>nájemné</w:t>
      </w:r>
      <w:r w:rsidRPr="005E0D75">
        <w:t xml:space="preserve">ho </w:t>
      </w:r>
      <w:r w:rsidR="009D0EA6" w:rsidRPr="005E0D75">
        <w:t xml:space="preserve">za </w:t>
      </w:r>
      <w:r w:rsidRPr="005E0D75">
        <w:t xml:space="preserve">ostatní </w:t>
      </w:r>
      <w:r w:rsidR="009D0EA6" w:rsidRPr="005E0D75">
        <w:t>aktiv</w:t>
      </w:r>
      <w:r w:rsidRPr="005E0D75">
        <w:t>a</w:t>
      </w:r>
      <w:r w:rsidR="009D0EA6" w:rsidRPr="005E0D75">
        <w:t>,</w:t>
      </w:r>
    </w:p>
    <w:p w:rsidR="00DF0DE0" w:rsidRPr="005E0D75" w:rsidRDefault="00DF0DE0" w:rsidP="00DF0DE0">
      <w:pPr>
        <w:numPr>
          <w:ilvl w:val="1"/>
          <w:numId w:val="11"/>
        </w:numPr>
        <w:tabs>
          <w:tab w:val="clear" w:pos="1440"/>
          <w:tab w:val="num" w:pos="720"/>
        </w:tabs>
        <w:ind w:left="720"/>
        <w:rPr>
          <w:color w:val="FF0000"/>
        </w:rPr>
      </w:pPr>
      <w:r w:rsidRPr="005E0D75">
        <w:t>míra zastarání nehmotného aktiva.</w:t>
      </w:r>
    </w:p>
    <w:p w:rsidR="009D0EA6" w:rsidRPr="005E0D75" w:rsidRDefault="009D0EA6" w:rsidP="00860BB2">
      <w:pPr>
        <w:numPr>
          <w:ilvl w:val="1"/>
          <w:numId w:val="11"/>
        </w:numPr>
        <w:tabs>
          <w:tab w:val="clear" w:pos="1440"/>
          <w:tab w:val="num" w:pos="720"/>
        </w:tabs>
        <w:ind w:left="720"/>
      </w:pPr>
      <w:r w:rsidRPr="005E0D75">
        <w:t>požadovaná výnosnost za oceňované nehmotné aktivum,</w:t>
      </w:r>
    </w:p>
    <w:p w:rsidR="009D0EA6" w:rsidRPr="005E0D75" w:rsidRDefault="008551AF" w:rsidP="00860BB2">
      <w:pPr>
        <w:numPr>
          <w:ilvl w:val="1"/>
          <w:numId w:val="11"/>
        </w:numPr>
        <w:tabs>
          <w:tab w:val="clear" w:pos="1440"/>
          <w:tab w:val="num" w:pos="720"/>
        </w:tabs>
        <w:ind w:left="720"/>
      </w:pPr>
      <w:r w:rsidRPr="005E0D75">
        <w:t>životnost nehmotného aktiva.</w:t>
      </w:r>
      <w:r w:rsidR="009D0EA6" w:rsidRPr="005E0D75">
        <w:t xml:space="preserve"> </w:t>
      </w:r>
    </w:p>
    <w:p w:rsidR="009D0EA6" w:rsidRPr="005E0D75" w:rsidRDefault="009D0EA6" w:rsidP="00860BB2">
      <w:pPr>
        <w:numPr>
          <w:ilvl w:val="0"/>
          <w:numId w:val="11"/>
        </w:numPr>
      </w:pPr>
      <w:r w:rsidRPr="005E0D75">
        <w:rPr>
          <w:b/>
          <w:iCs/>
        </w:rPr>
        <w:t>Zisk za relevantní produkci</w:t>
      </w:r>
      <w:r w:rsidRPr="005E0D75">
        <w:t>. Relevantní produkcí se rozumí produkce, ve které je (bude) uplatněno oceňované nehmotné aktivum.</w:t>
      </w:r>
      <w:r w:rsidR="00860BB2" w:rsidRPr="005E0D75">
        <w:t xml:space="preserve"> Takovou produkcí může být celková produkce podniku nebo produkce jedné části podniku. Ziskem se rozumí provozní</w:t>
      </w:r>
      <w:r w:rsidR="005223BF" w:rsidRPr="005E0D75">
        <w:t xml:space="preserve"> výsledek hospodaření na úrovni nejčastěji před odpisy</w:t>
      </w:r>
      <w:r w:rsidR="00261FC2" w:rsidRPr="005E0D75">
        <w:t>, úroky (eventuálně daněmi)</w:t>
      </w:r>
      <w:r w:rsidRPr="005E0D75">
        <w:t xml:space="preserve">. </w:t>
      </w:r>
    </w:p>
    <w:p w:rsidR="009D0EA6" w:rsidRPr="005E0D75" w:rsidRDefault="009D0EA6" w:rsidP="005223BF">
      <w:pPr>
        <w:numPr>
          <w:ilvl w:val="0"/>
          <w:numId w:val="11"/>
        </w:numPr>
      </w:pPr>
      <w:r w:rsidRPr="005E0D75">
        <w:rPr>
          <w:b/>
          <w:iCs/>
        </w:rPr>
        <w:t xml:space="preserve">Hodnoty identifikovatelných </w:t>
      </w:r>
      <w:r w:rsidR="005223BF" w:rsidRPr="005E0D75">
        <w:rPr>
          <w:b/>
          <w:iCs/>
        </w:rPr>
        <w:t xml:space="preserve">ostatních </w:t>
      </w:r>
      <w:r w:rsidRPr="005E0D75">
        <w:rPr>
          <w:b/>
          <w:iCs/>
        </w:rPr>
        <w:t>aktiv</w:t>
      </w:r>
      <w:r w:rsidRPr="005E0D75">
        <w:t xml:space="preserve">. Za účelem ocenění předmětného nehmotného aktiva </w:t>
      </w:r>
      <w:r w:rsidR="005223BF" w:rsidRPr="005E0D75">
        <w:t>se identifikují</w:t>
      </w:r>
      <w:r w:rsidRPr="005E0D75">
        <w:t xml:space="preserve"> a ocení různými oceňovacími přístupy všechna ostatní identifikovatelná hmotná i nehmotná aktiva, která jsou využívána při relevantní produkci. Jsou-li tato aktiva využívána také za účelem dosažení jiných tržeb, odhad</w:t>
      </w:r>
      <w:r w:rsidR="005223BF" w:rsidRPr="005E0D75">
        <w:t>ne se</w:t>
      </w:r>
      <w:r w:rsidRPr="005E0D75">
        <w:t xml:space="preserve"> část hodnoty těchto aktiv, jež lze přisoudit využití pro dosažení tržeb za relevantní produkci.</w:t>
      </w:r>
    </w:p>
    <w:p w:rsidR="005223BF" w:rsidRPr="005E0D75" w:rsidRDefault="005223BF" w:rsidP="005223BF">
      <w:pPr>
        <w:numPr>
          <w:ilvl w:val="0"/>
          <w:numId w:val="11"/>
        </w:numPr>
      </w:pPr>
      <w:r w:rsidRPr="005E0D75">
        <w:rPr>
          <w:b/>
          <w:iCs/>
        </w:rPr>
        <w:t>Ekonomické n</w:t>
      </w:r>
      <w:r w:rsidR="009D0EA6" w:rsidRPr="005E0D75">
        <w:rPr>
          <w:b/>
          <w:iCs/>
        </w:rPr>
        <w:t xml:space="preserve">ájemné </w:t>
      </w:r>
      <w:r w:rsidRPr="005E0D75">
        <w:rPr>
          <w:b/>
          <w:iCs/>
        </w:rPr>
        <w:t xml:space="preserve">za ostatní </w:t>
      </w:r>
      <w:r w:rsidR="009D0EA6" w:rsidRPr="005E0D75">
        <w:rPr>
          <w:b/>
          <w:iCs/>
        </w:rPr>
        <w:t>aktiv</w:t>
      </w:r>
      <w:r w:rsidRPr="005E0D75">
        <w:rPr>
          <w:b/>
          <w:iCs/>
        </w:rPr>
        <w:t>a</w:t>
      </w:r>
      <w:r w:rsidR="009D0EA6" w:rsidRPr="005E0D75">
        <w:t xml:space="preserve">. </w:t>
      </w:r>
      <w:r w:rsidRPr="005E0D75">
        <w:t xml:space="preserve">Výše ekonomického nájemného je dána principiálně jednak částkou spojenou s prostou obnovou pronajatého majetku a jednak </w:t>
      </w:r>
      <w:r w:rsidRPr="005E0D75">
        <w:lastRenderedPageBreak/>
        <w:t>výnosem spojeným s tržním pronájmem aktiva. Sazbu nájemného lze obvykle odhadnout následujícími způsoby</w:t>
      </w:r>
      <w:r w:rsidR="00261FC2" w:rsidRPr="005E0D75">
        <w:t>, a sice podle</w:t>
      </w:r>
      <w:r w:rsidRPr="005E0D75">
        <w:t>:</w:t>
      </w:r>
    </w:p>
    <w:p w:rsidR="005223BF" w:rsidRPr="005E0D75" w:rsidRDefault="005223BF" w:rsidP="005223BF">
      <w:pPr>
        <w:numPr>
          <w:ilvl w:val="1"/>
          <w:numId w:val="11"/>
        </w:numPr>
        <w:tabs>
          <w:tab w:val="clear" w:pos="1440"/>
          <w:tab w:val="num" w:pos="720"/>
        </w:tabs>
        <w:ind w:left="720"/>
      </w:pPr>
      <w:r w:rsidRPr="005E0D75">
        <w:t>výše výnosnosti leasingových společností,</w:t>
      </w:r>
    </w:p>
    <w:p w:rsidR="005223BF" w:rsidRPr="005E0D75" w:rsidRDefault="005223BF" w:rsidP="005223BF">
      <w:pPr>
        <w:numPr>
          <w:ilvl w:val="1"/>
          <w:numId w:val="11"/>
        </w:numPr>
        <w:tabs>
          <w:tab w:val="clear" w:pos="1440"/>
          <w:tab w:val="num" w:pos="720"/>
        </w:tabs>
        <w:ind w:left="720"/>
      </w:pPr>
      <w:r w:rsidRPr="005E0D75">
        <w:t>výše rizika spojeného s výnosy z daného použitého aktiva,</w:t>
      </w:r>
    </w:p>
    <w:p w:rsidR="00261FC2" w:rsidRPr="005E0D75" w:rsidRDefault="00261FC2" w:rsidP="005223BF">
      <w:pPr>
        <w:numPr>
          <w:ilvl w:val="1"/>
          <w:numId w:val="11"/>
        </w:numPr>
        <w:tabs>
          <w:tab w:val="clear" w:pos="1440"/>
          <w:tab w:val="num" w:pos="720"/>
        </w:tabs>
        <w:ind w:left="720"/>
        <w:rPr>
          <w:b/>
        </w:rPr>
      </w:pPr>
      <w:r w:rsidRPr="005E0D75">
        <w:t>reálné možnosti financovat dané aktivum samostatně vlastním kapitálem či dluhem,</w:t>
      </w:r>
    </w:p>
    <w:p w:rsidR="005223BF" w:rsidRPr="005E0D75" w:rsidRDefault="00261FC2" w:rsidP="005223BF">
      <w:pPr>
        <w:numPr>
          <w:ilvl w:val="1"/>
          <w:numId w:val="11"/>
        </w:numPr>
        <w:tabs>
          <w:tab w:val="clear" w:pos="1440"/>
          <w:tab w:val="num" w:pos="720"/>
        </w:tabs>
        <w:ind w:left="720"/>
        <w:rPr>
          <w:b/>
        </w:rPr>
      </w:pPr>
      <w:r w:rsidRPr="005E0D75">
        <w:t>podle výše tržní licenční sazby u licencovatelných nehmotných aktiv.</w:t>
      </w:r>
    </w:p>
    <w:p w:rsidR="008551AF" w:rsidRPr="005E0D75" w:rsidRDefault="008551AF" w:rsidP="00261FC2">
      <w:pPr>
        <w:numPr>
          <w:ilvl w:val="0"/>
          <w:numId w:val="11"/>
        </w:numPr>
      </w:pPr>
      <w:r w:rsidRPr="005E0D75">
        <w:rPr>
          <w:b/>
        </w:rPr>
        <w:t>Průměrná vážená výnosnost aktiv</w:t>
      </w:r>
      <w:r w:rsidRPr="005E0D75">
        <w:t>. Výsledné odhady sazeb požadovaného nájemného je třeba odhadovat takovým způsobem, aby výsledná průměrná vážená výnosnost všech aktiv podniku</w:t>
      </w:r>
      <w:r w:rsidRPr="005E0D75">
        <w:rPr>
          <w:rStyle w:val="Znakapoznpodarou"/>
        </w:rPr>
        <w:footnoteReference w:id="30"/>
      </w:r>
      <w:r w:rsidRPr="005E0D75">
        <w:t xml:space="preserve"> byla v souladu s průměrnou váženou výnosností pasív</w:t>
      </w:r>
      <w:r w:rsidRPr="005E0D75">
        <w:rPr>
          <w:rStyle w:val="Znakapoznpodarou"/>
        </w:rPr>
        <w:footnoteReference w:id="31"/>
      </w:r>
      <w:r w:rsidRPr="005E0D75">
        <w:t xml:space="preserve"> podniku užívající oceňované nehmotné aktivum.</w:t>
      </w:r>
    </w:p>
    <w:p w:rsidR="00261FC2" w:rsidRPr="005E0D75" w:rsidRDefault="00261FC2" w:rsidP="00261FC2">
      <w:pPr>
        <w:numPr>
          <w:ilvl w:val="0"/>
          <w:numId w:val="11"/>
        </w:numPr>
      </w:pPr>
      <w:r w:rsidRPr="005E0D75">
        <w:rPr>
          <w:b/>
        </w:rPr>
        <w:t>Daňové efekty</w:t>
      </w:r>
      <w:r w:rsidRPr="005E0D75">
        <w:t>. Kromě obecné analogické otázky zdanění sazbou daně z příjmu jako u jiných výnosových metod ocenění, stejně jako započtení přínosů z daňové odepisovatelnosti použitých aktiv, je třeba zajistit, aby výše nájemného i výše provozního výsledku hospodaření vycházela ze shodné základny (obojí před zdaněním nebo obojí po zdanění).</w:t>
      </w:r>
    </w:p>
    <w:p w:rsidR="00261FC2" w:rsidRPr="005E0D75" w:rsidRDefault="00261FC2" w:rsidP="00261FC2">
      <w:pPr>
        <w:numPr>
          <w:ilvl w:val="0"/>
          <w:numId w:val="11"/>
        </w:numPr>
      </w:pPr>
      <w:r w:rsidRPr="005E0D75">
        <w:rPr>
          <w:b/>
          <w:iCs/>
        </w:rPr>
        <w:t>Míra zastarání</w:t>
      </w:r>
      <w:r w:rsidRPr="005E0D75">
        <w:rPr>
          <w:b/>
        </w:rPr>
        <w:t>.</w:t>
      </w:r>
      <w:r w:rsidRPr="005E0D75">
        <w:t xml:space="preserve"> Jedná-li se o nehmotné, podléhající v čase významnému zastarání, příp. je-li oceňované aktivum v čase nahrazováno jiným aktivem (zákaznické vztahy, stará technologie nahrazována novou), je třeba zohlednit tento jev patřičným způsobem do ocenění.</w:t>
      </w:r>
    </w:p>
    <w:p w:rsidR="00DF0DE0" w:rsidRPr="005E0D75" w:rsidRDefault="00DF0DE0" w:rsidP="00DF0DE0">
      <w:pPr>
        <w:numPr>
          <w:ilvl w:val="0"/>
          <w:numId w:val="11"/>
        </w:numPr>
      </w:pPr>
      <w:r w:rsidRPr="005E0D75">
        <w:t xml:space="preserve">Ostatní parametry metody (životnost, míra rizika) se použijí analogicky jako u metody licenční analogie. </w:t>
      </w:r>
    </w:p>
    <w:p w:rsidR="00C60F8E" w:rsidRPr="005E0D75" w:rsidRDefault="00C60F8E" w:rsidP="00C60F8E">
      <w:pPr>
        <w:pStyle w:val="Nadpis3"/>
      </w:pPr>
      <w:bookmarkStart w:id="10" w:name="_Toc301173573"/>
      <w:r w:rsidRPr="005E0D75">
        <w:t>Metoda podílu na zisku</w:t>
      </w:r>
      <w:bookmarkEnd w:id="10"/>
    </w:p>
    <w:p w:rsidR="00C60F8E" w:rsidRPr="005E0D75" w:rsidRDefault="009609E8" w:rsidP="00DF0DE0">
      <w:pPr>
        <w:numPr>
          <w:ilvl w:val="0"/>
          <w:numId w:val="11"/>
        </w:numPr>
      </w:pPr>
      <w:r w:rsidRPr="005E0D75">
        <w:rPr>
          <w:b/>
          <w:iCs/>
        </w:rPr>
        <w:t>Metoda podílu na zisku</w:t>
      </w:r>
      <w:r w:rsidR="00C60F8E" w:rsidRPr="005E0D75">
        <w:t xml:space="preserve">. Metoda podílu na zisku </w:t>
      </w:r>
      <w:r w:rsidRPr="005E0D75">
        <w:t xml:space="preserve">je obdobou metody licenční analogie a </w:t>
      </w:r>
      <w:r w:rsidR="00C60F8E" w:rsidRPr="005E0D75">
        <w:t>spočívá v </w:t>
      </w:r>
      <w:r w:rsidRPr="005E0D75">
        <w:t>určení podílu na zisku podniku užívajícího nehmotné aktivum, přičemž tato část zisku je považována za hypotetickou licenční platbu za aktivum, která by byla zaplacena v transakci</w:t>
      </w:r>
      <w:r w:rsidR="00C60F8E" w:rsidRPr="005E0D75">
        <w:t xml:space="preserve">. Hodnota nehmotného aktiva je </w:t>
      </w:r>
      <w:r w:rsidRPr="005E0D75">
        <w:t xml:space="preserve">pak </w:t>
      </w:r>
      <w:r w:rsidR="00C60F8E" w:rsidRPr="005E0D75">
        <w:t xml:space="preserve">tvořena současnou hodnotou </w:t>
      </w:r>
      <w:r w:rsidRPr="005E0D75">
        <w:t xml:space="preserve">podílů na </w:t>
      </w:r>
      <w:r w:rsidR="00C60F8E" w:rsidRPr="005E0D75">
        <w:t>zisk</w:t>
      </w:r>
      <w:r w:rsidRPr="005E0D75">
        <w:t>u</w:t>
      </w:r>
      <w:r w:rsidR="00C60F8E" w:rsidRPr="005E0D75">
        <w:t xml:space="preserve"> přiřaditelných nehmotnému aktivu. </w:t>
      </w:r>
      <w:r w:rsidR="00AB0CDE" w:rsidRPr="005E0D75">
        <w:t>Jedná se především o kontrolní metodu k metodě licenční analogie.</w:t>
      </w:r>
    </w:p>
    <w:p w:rsidR="00AB0CDE" w:rsidRPr="005E0D75" w:rsidRDefault="00AB0CDE" w:rsidP="00AB0CDE">
      <w:pPr>
        <w:numPr>
          <w:ilvl w:val="0"/>
          <w:numId w:val="11"/>
        </w:numPr>
      </w:pPr>
      <w:r w:rsidRPr="005E0D75">
        <w:rPr>
          <w:b/>
        </w:rPr>
        <w:t>Zisk</w:t>
      </w:r>
      <w:r w:rsidRPr="005E0D75">
        <w:t xml:space="preserve">. Ziskem se rozumí dlouhodobá výše provozního výsledku hospodaření před zdaněním, očištěný o vliv mimořádných položek. </w:t>
      </w:r>
      <w:r w:rsidR="00691F7F" w:rsidRPr="005E0D75">
        <w:t>Pokud se transakce odehrává na lokální úrovni České republiky</w:t>
      </w:r>
      <w:r w:rsidR="001C1B69" w:rsidRPr="005E0D75">
        <w:t xml:space="preserve"> a bude na tomto území využito</w:t>
      </w:r>
      <w:r w:rsidR="00691F7F" w:rsidRPr="005E0D75">
        <w:t>, oceňovatel přihlédne k výším ziskové marže, která je dosažitelná v těchto lokálních podmínkách.</w:t>
      </w:r>
    </w:p>
    <w:p w:rsidR="00AB0CDE" w:rsidRPr="005E0D75" w:rsidRDefault="00AB0CDE" w:rsidP="00AB0CDE">
      <w:pPr>
        <w:numPr>
          <w:ilvl w:val="0"/>
          <w:numId w:val="11"/>
        </w:numPr>
      </w:pPr>
      <w:r w:rsidRPr="005E0D75">
        <w:rPr>
          <w:b/>
          <w:iCs/>
        </w:rPr>
        <w:t>Výše podílu na zisku</w:t>
      </w:r>
      <w:r w:rsidR="00C60F8E" w:rsidRPr="005E0D75">
        <w:t xml:space="preserve">. Přínos nehmotného aktiva k zisku je dán obvyklým rozdělením zisku mezi hypotetického poskytovatele a nabyvatele licence při nezávislé licenční transakci. Při konkrétní volbě výše rozdělení zisku oceňovatel přihlédne </w:t>
      </w:r>
      <w:r w:rsidRPr="005E0D75">
        <w:t>k faktorům, které jsou diskutovány pro výši licenčního poplatku v metodě licenční analogie.</w:t>
      </w:r>
      <w:r w:rsidR="00691F7F" w:rsidRPr="005E0D75">
        <w:t xml:space="preserve"> </w:t>
      </w:r>
    </w:p>
    <w:p w:rsidR="00C60F8E" w:rsidRPr="005E0D75" w:rsidRDefault="00C60F8E" w:rsidP="00AB0CDE">
      <w:pPr>
        <w:numPr>
          <w:ilvl w:val="0"/>
          <w:numId w:val="11"/>
        </w:numPr>
      </w:pPr>
      <w:r w:rsidRPr="005E0D75">
        <w:rPr>
          <w:b/>
          <w:iCs/>
        </w:rPr>
        <w:t>Komponenty</w:t>
      </w:r>
      <w:r w:rsidRPr="005E0D75">
        <w:t xml:space="preserve">. </w:t>
      </w:r>
      <w:r w:rsidR="00AB0CDE" w:rsidRPr="005E0D75">
        <w:t xml:space="preserve">Tržní výše podílů na zisku jsou chápány jako podíly na zisku přiřaditelné veškerému nehmotnému majetku obsaženém ve výrobku. Při ocenění je tedy třeba diskutovat vliv i ostatních nehmotných aktiv a ziskovost výrobku. </w:t>
      </w:r>
      <w:r w:rsidRPr="005E0D75">
        <w:t xml:space="preserve">Spočívá-li nehmotné aktivum </w:t>
      </w:r>
      <w:r w:rsidR="00AB0CDE" w:rsidRPr="005E0D75">
        <w:t xml:space="preserve">navíc pouze </w:t>
      </w:r>
      <w:r w:rsidRPr="005E0D75">
        <w:t xml:space="preserve">v částečné inovaci produktu, určí oceňovatel nejdříve podíl této </w:t>
      </w:r>
      <w:r w:rsidRPr="005E0D75">
        <w:lastRenderedPageBreak/>
        <w:t>inovace na celém produktu. Tento podíl je dán celk</w:t>
      </w:r>
      <w:r w:rsidR="004802F7" w:rsidRPr="005E0D75">
        <w:t>ovým</w:t>
      </w:r>
      <w:r w:rsidRPr="005E0D75">
        <w:t xml:space="preserve"> významem inovované části na prodávaném produktu.</w:t>
      </w:r>
    </w:p>
    <w:p w:rsidR="00AB0CDE" w:rsidRPr="005E0D75" w:rsidRDefault="00AB0CDE" w:rsidP="00AB0CDE">
      <w:pPr>
        <w:numPr>
          <w:ilvl w:val="0"/>
          <w:numId w:val="11"/>
        </w:numPr>
      </w:pPr>
      <w:r w:rsidRPr="005E0D75">
        <w:t xml:space="preserve">Ostatní parametry metody (životnost, míra zastarání, míra rizika, daňové efekty) se použijí analogicky jako u metody licenční analogie. </w:t>
      </w:r>
    </w:p>
    <w:p w:rsidR="00C60F8E" w:rsidRPr="005E0D75" w:rsidRDefault="00C60F8E" w:rsidP="00C60F8E">
      <w:pPr>
        <w:pStyle w:val="Nadpis3"/>
      </w:pPr>
      <w:bookmarkStart w:id="11" w:name="_Toc301173574"/>
      <w:r w:rsidRPr="005E0D75">
        <w:t xml:space="preserve">Metoda </w:t>
      </w:r>
      <w:r w:rsidR="00AB0CDE" w:rsidRPr="005E0D75">
        <w:t>čisté současné hodnoty</w:t>
      </w:r>
      <w:bookmarkEnd w:id="11"/>
    </w:p>
    <w:p w:rsidR="003125E5" w:rsidRPr="005E0D75" w:rsidRDefault="00043B0A" w:rsidP="00120F17">
      <w:pPr>
        <w:numPr>
          <w:ilvl w:val="0"/>
          <w:numId w:val="10"/>
        </w:numPr>
      </w:pPr>
      <w:r w:rsidRPr="005E0D75">
        <w:rPr>
          <w:b/>
        </w:rPr>
        <w:t>Metoda čisté současné hodnoty</w:t>
      </w:r>
      <w:r w:rsidRPr="005E0D75">
        <w:t xml:space="preserve">. Metoda čisté současné hodnoty pracuje, na rozdíl od ostatních metod, s peněžními toky a jejím cílem je odhadnout hodnotu nehmotného aktiva pomocí výpočtu čisté současné hodnoty. Principiálně je podobné metodám prémií, neboť stanovuje hodnotu nehmotného aktiva na základě rozdílu mezi výnosností projektu, který obsahuje nehmotné aktivum a výnosností téhož projektu, který je zatížen úplatou za nehmotné aktivum. </w:t>
      </w:r>
    </w:p>
    <w:p w:rsidR="00043B0A" w:rsidRPr="005E0D75" w:rsidRDefault="00043B0A" w:rsidP="00120F17">
      <w:pPr>
        <w:numPr>
          <w:ilvl w:val="0"/>
          <w:numId w:val="10"/>
        </w:numPr>
      </w:pPr>
      <w:r w:rsidRPr="005E0D75">
        <w:rPr>
          <w:b/>
        </w:rPr>
        <w:t>Cíl a využití metody</w:t>
      </w:r>
      <w:r w:rsidRPr="005E0D75">
        <w:t>. Cílem této metody je primárně vyčíslit maximální výši úplaty za nehmotné aktivum na základě únosnosti této platby vzhledem k výši nákladů kapitálu. Metoda je využitelná pouze u vysoc</w:t>
      </w:r>
      <w:r w:rsidR="00030045" w:rsidRPr="005E0D75">
        <w:t>e investičně náročných projektů, u kte</w:t>
      </w:r>
      <w:r w:rsidR="004802F7" w:rsidRPr="005E0D75">
        <w:t>rých je možné kalkulovat součas</w:t>
      </w:r>
      <w:r w:rsidR="00030045" w:rsidRPr="005E0D75">
        <w:t>nou hodnotu příjmů proti současné hodnotě kapitálových výdajů.</w:t>
      </w:r>
    </w:p>
    <w:p w:rsidR="006B26C7" w:rsidRPr="005E0D75" w:rsidRDefault="006B26C7" w:rsidP="006B26C7">
      <w:pPr>
        <w:numPr>
          <w:ilvl w:val="0"/>
          <w:numId w:val="10"/>
        </w:numPr>
      </w:pPr>
      <w:r w:rsidRPr="005E0D75">
        <w:t xml:space="preserve">Ostatní parametry metody se použijí analogicky jako u jiných výnosových metod. </w:t>
      </w:r>
    </w:p>
    <w:p w:rsidR="00030045" w:rsidRPr="005E0D75" w:rsidRDefault="00030045" w:rsidP="00030045">
      <w:pPr>
        <w:pStyle w:val="Nadpis2"/>
      </w:pPr>
      <w:bookmarkStart w:id="12" w:name="_Toc301173575"/>
      <w:r w:rsidRPr="005E0D75">
        <w:t>Nákladový přístup</w:t>
      </w:r>
      <w:bookmarkEnd w:id="12"/>
    </w:p>
    <w:p w:rsidR="00030045" w:rsidRPr="005E0D75" w:rsidRDefault="00030045" w:rsidP="00030045">
      <w:pPr>
        <w:numPr>
          <w:ilvl w:val="0"/>
          <w:numId w:val="10"/>
        </w:numPr>
      </w:pPr>
      <w:r w:rsidRPr="005E0D75">
        <w:rPr>
          <w:b/>
          <w:iCs/>
        </w:rPr>
        <w:t>Nákladový přístup</w:t>
      </w:r>
      <w:r w:rsidRPr="005E0D75">
        <w:t>. Nákladový přístup je založen na principu ekonomické substituce, tedy myšlence, že zájemce jakožto dobrý hospodář není ochoten za nehmotné aktivum zaplatit více, než by zaplatil v ekonomických nákladech za vytvoření nehmotného aktiva se srovnatelnou užitečností. Nákladový přístup spočívá v agregaci nákladových položek spojených s vytvořením nehmotného aktiva. Základními metodami nákladového přístupu jsou:</w:t>
      </w:r>
    </w:p>
    <w:p w:rsidR="007042DA" w:rsidRPr="005E0D75" w:rsidRDefault="007042DA" w:rsidP="007042DA">
      <w:pPr>
        <w:numPr>
          <w:ilvl w:val="1"/>
          <w:numId w:val="11"/>
        </w:numPr>
        <w:tabs>
          <w:tab w:val="clear" w:pos="1440"/>
          <w:tab w:val="num" w:pos="720"/>
        </w:tabs>
        <w:ind w:left="720"/>
      </w:pPr>
      <w:r w:rsidRPr="005E0D75">
        <w:rPr>
          <w:b/>
        </w:rPr>
        <w:t>Metoda reprodukčních nákladů.</w:t>
      </w:r>
      <w:r w:rsidRPr="005E0D75">
        <w:t xml:space="preserve"> Tento postup vychází z vytvoření přesné kopie oceňovaného nehmotného aktiva a zahrnuje míru opotřebení k datu ocenění, která odráží pokles užitečnosti vytvořeného aktiva. Tento postup předpokládá použití původních vstupů a postupů v cenách k datu ocenění;</w:t>
      </w:r>
    </w:p>
    <w:p w:rsidR="00030045" w:rsidRPr="005E0D75" w:rsidRDefault="007042DA" w:rsidP="007042DA">
      <w:pPr>
        <w:numPr>
          <w:ilvl w:val="1"/>
          <w:numId w:val="11"/>
        </w:numPr>
        <w:tabs>
          <w:tab w:val="clear" w:pos="1440"/>
          <w:tab w:val="num" w:pos="720"/>
        </w:tabs>
        <w:ind w:left="720"/>
      </w:pPr>
      <w:r w:rsidRPr="005E0D75">
        <w:rPr>
          <w:b/>
        </w:rPr>
        <w:t>M</w:t>
      </w:r>
      <w:r w:rsidR="00030045" w:rsidRPr="005E0D75">
        <w:rPr>
          <w:b/>
        </w:rPr>
        <w:t>etoda nákladů nahrazení</w:t>
      </w:r>
      <w:r w:rsidR="00030045" w:rsidRPr="005E0D75">
        <w:t>.</w:t>
      </w:r>
      <w:r w:rsidRPr="005E0D75">
        <w:t xml:space="preserve"> Tento postup vychází z vytvoření nehmotného aktiva se srovnatelnou užitečností. Tento postup předpokládá použití nových, efektivnějších vstupů a postupů, dostupných k datu ocenění, pokud takové existují</w:t>
      </w:r>
      <w:r w:rsidR="00566761" w:rsidRPr="005E0D75">
        <w:t>. Tento přístup nezahrnuje míru opotřebení.</w:t>
      </w:r>
    </w:p>
    <w:p w:rsidR="00566761" w:rsidRPr="005E0D75" w:rsidRDefault="00566761" w:rsidP="00566761">
      <w:pPr>
        <w:numPr>
          <w:ilvl w:val="0"/>
          <w:numId w:val="10"/>
        </w:numPr>
      </w:pPr>
      <w:r w:rsidRPr="005E0D75">
        <w:rPr>
          <w:b/>
        </w:rPr>
        <w:t>Nákladové položky</w:t>
      </w:r>
      <w:r w:rsidRPr="005E0D75">
        <w:t>. Při odhadu hodnoty nehmotného aktiva je třeba odhadnout nejen přímé a nepřímé náklady spojené s vytvořením nehmotného aktiva, ale i náklady ušlé příležitosti, neboť kapitál vynaložený v čase na tvorbu nehmotného aktiva představuje z ekonomického pohledu ušlou příležitost.</w:t>
      </w:r>
    </w:p>
    <w:p w:rsidR="00030045" w:rsidRPr="005E0D75" w:rsidRDefault="00030045" w:rsidP="00566761">
      <w:pPr>
        <w:numPr>
          <w:ilvl w:val="0"/>
          <w:numId w:val="10"/>
        </w:numPr>
      </w:pPr>
      <w:r w:rsidRPr="005E0D75">
        <w:rPr>
          <w:b/>
          <w:iCs/>
        </w:rPr>
        <w:t>Užití nákladového přístupu</w:t>
      </w:r>
      <w:r w:rsidRPr="005E0D75">
        <w:t xml:space="preserve">. Oceňovatel použije nákladový přístup </w:t>
      </w:r>
      <w:r w:rsidR="00566761" w:rsidRPr="005E0D75">
        <w:t xml:space="preserve">v případech, kdy existuje vysoká pravděpodobnost, že běžní zájemci by byli ochotni dané aktivum za náklady směnit. Jedná se </w:t>
      </w:r>
      <w:r w:rsidRPr="005E0D75">
        <w:t xml:space="preserve">zejména </w:t>
      </w:r>
      <w:r w:rsidR="00566761" w:rsidRPr="005E0D75">
        <w:t>o aktiva v</w:t>
      </w:r>
      <w:r w:rsidRPr="005E0D75">
        <w:t> raných fázích vývoje</w:t>
      </w:r>
      <w:r w:rsidR="00566761" w:rsidRPr="005E0D75">
        <w:t xml:space="preserve">, nové ochranné známky, podpůrný software či databáze, </w:t>
      </w:r>
      <w:r w:rsidR="00881A0C" w:rsidRPr="005E0D75">
        <w:t>obsah webových stránek či</w:t>
      </w:r>
      <w:r w:rsidR="00566761" w:rsidRPr="005E0D75">
        <w:t xml:space="preserve"> hodnota zavedeného pracovního kolektivu.</w:t>
      </w:r>
    </w:p>
    <w:p w:rsidR="00E23039" w:rsidRPr="005E0D75" w:rsidRDefault="00E23039" w:rsidP="00E23039">
      <w:pPr>
        <w:pStyle w:val="Nadpis1"/>
      </w:pPr>
      <w:bookmarkStart w:id="13" w:name="_Toc301173576"/>
      <w:r w:rsidRPr="005E0D75">
        <w:lastRenderedPageBreak/>
        <w:t>Souhrnné ocenění</w:t>
      </w:r>
      <w:bookmarkEnd w:id="13"/>
    </w:p>
    <w:p w:rsidR="004E10D2" w:rsidRPr="005E0D75" w:rsidRDefault="004E10D2" w:rsidP="004E10D2">
      <w:pPr>
        <w:numPr>
          <w:ilvl w:val="0"/>
          <w:numId w:val="10"/>
        </w:numPr>
      </w:pPr>
      <w:r w:rsidRPr="005E0D75">
        <w:rPr>
          <w:b/>
        </w:rPr>
        <w:t>Souhrnné ocenění</w:t>
      </w:r>
      <w:r w:rsidRPr="005E0D75">
        <w:t>. Souhrnným oceněním se rozumí odvození výsledné hodnoty nehmotného aktiva na základě účelu ocenění, zvolené kategorie hodnoty použitých metod ocenění.</w:t>
      </w:r>
      <w:r w:rsidRPr="005E0D75">
        <w:rPr>
          <w:rStyle w:val="Znakapoznpodarou"/>
        </w:rPr>
        <w:footnoteReference w:id="32"/>
      </w:r>
      <w:r w:rsidRPr="005E0D75">
        <w:t xml:space="preserve"> </w:t>
      </w:r>
    </w:p>
    <w:p w:rsidR="004E10D2" w:rsidRPr="005E0D75" w:rsidRDefault="004E10D2" w:rsidP="004E10D2">
      <w:pPr>
        <w:numPr>
          <w:ilvl w:val="0"/>
          <w:numId w:val="10"/>
        </w:numPr>
      </w:pPr>
      <w:r w:rsidRPr="005E0D75">
        <w:rPr>
          <w:b/>
        </w:rPr>
        <w:t>Počet použitých metod</w:t>
      </w:r>
      <w:r w:rsidRPr="005E0D75">
        <w:t>. Z důvodu možné značné volatility odhadnutých hodnot nehmotných aktiv je v této oblasti obecně doporučováno použití alespoň dvou metod ocenění, které se vzájemné doplňují a kontrolují. Existují však i méně časté případy, kdy vzhledem k typu a významu nehmotného aktiva není rozumně možné použít než jednu metodu (např. ocenění zákaznických vztahů pro účely IFRS metodou nadměrných zisků).</w:t>
      </w:r>
    </w:p>
    <w:p w:rsidR="007C2AF9" w:rsidRPr="005E0D75" w:rsidRDefault="007C2AF9" w:rsidP="007C2AF9"/>
    <w:p w:rsidR="004E10D2" w:rsidRPr="005E0D75" w:rsidRDefault="004E10D2" w:rsidP="004E10D2">
      <w:pPr>
        <w:pStyle w:val="Nadpis1"/>
      </w:pPr>
      <w:bookmarkStart w:id="14" w:name="_Toc301173577"/>
      <w:r w:rsidRPr="005E0D75">
        <w:t>Literatura</w:t>
      </w:r>
      <w:bookmarkEnd w:id="14"/>
    </w:p>
    <w:p w:rsidR="00E426E3" w:rsidRPr="005E0D75" w:rsidRDefault="00E426E3" w:rsidP="00E426E3">
      <w:pPr>
        <w:numPr>
          <w:ilvl w:val="0"/>
          <w:numId w:val="11"/>
        </w:numPr>
      </w:pPr>
      <w:r w:rsidRPr="005E0D75">
        <w:t xml:space="preserve">Jurečka, J.: </w:t>
      </w:r>
      <w:r w:rsidRPr="005E0D75">
        <w:rPr>
          <w:i/>
        </w:rPr>
        <w:t>Doporučení pro oceňování nehmotného majetku: Návrh tezí k diskusi</w:t>
      </w:r>
      <w:r w:rsidRPr="005E0D75">
        <w:t xml:space="preserve">. In: </w:t>
      </w:r>
      <w:r w:rsidRPr="005E0D75">
        <w:rPr>
          <w:i/>
        </w:rPr>
        <w:t>Vybrané problémy oceňování podniku</w:t>
      </w:r>
      <w:r w:rsidRPr="005E0D75">
        <w:t>. Sborník z kolokvií KFOP VŠE v Praze, editor M. Mařík. IOM, (2007).</w:t>
      </w:r>
    </w:p>
    <w:p w:rsidR="00E426E3" w:rsidRPr="005E0D75" w:rsidRDefault="00E426E3" w:rsidP="00E426E3">
      <w:pPr>
        <w:numPr>
          <w:ilvl w:val="0"/>
          <w:numId w:val="11"/>
        </w:numPr>
      </w:pPr>
      <w:r w:rsidRPr="005E0D75">
        <w:rPr>
          <w:i/>
        </w:rPr>
        <w:t>Mezinárodní oceňovací standardy (IVS).</w:t>
      </w:r>
      <w:r w:rsidRPr="005E0D75">
        <w:t xml:space="preserve"> IVSC, 2007, zejména: </w:t>
      </w:r>
    </w:p>
    <w:p w:rsidR="00E426E3" w:rsidRPr="005E0D75" w:rsidRDefault="00E426E3" w:rsidP="00E426E3">
      <w:pPr>
        <w:numPr>
          <w:ilvl w:val="1"/>
          <w:numId w:val="11"/>
        </w:numPr>
        <w:tabs>
          <w:tab w:val="clear" w:pos="1440"/>
          <w:tab w:val="num" w:pos="720"/>
        </w:tabs>
        <w:ind w:left="720"/>
      </w:pPr>
      <w:r w:rsidRPr="005E0D75">
        <w:t>IVS 1 – Tržní hodnota,</w:t>
      </w:r>
    </w:p>
    <w:p w:rsidR="00E426E3" w:rsidRPr="005E0D75" w:rsidRDefault="00E426E3" w:rsidP="00E426E3">
      <w:pPr>
        <w:numPr>
          <w:ilvl w:val="1"/>
          <w:numId w:val="11"/>
        </w:numPr>
        <w:tabs>
          <w:tab w:val="clear" w:pos="1440"/>
          <w:tab w:val="num" w:pos="720"/>
        </w:tabs>
        <w:ind w:left="720"/>
      </w:pPr>
      <w:r w:rsidRPr="005E0D75">
        <w:t>IVS 2 – Jiné než tržní hodnoty,</w:t>
      </w:r>
    </w:p>
    <w:p w:rsidR="00E426E3" w:rsidRDefault="00E426E3" w:rsidP="00E426E3">
      <w:pPr>
        <w:numPr>
          <w:ilvl w:val="1"/>
          <w:numId w:val="11"/>
        </w:numPr>
        <w:tabs>
          <w:tab w:val="clear" w:pos="1440"/>
          <w:tab w:val="num" w:pos="720"/>
        </w:tabs>
        <w:ind w:left="720"/>
      </w:pPr>
      <w:r w:rsidRPr="005E0D75">
        <w:t>GN 4 – Ocenění nehmotných aktiv</w:t>
      </w:r>
      <w:r w:rsidR="005E0D75">
        <w:t>,</w:t>
      </w:r>
    </w:p>
    <w:p w:rsidR="005E0D75" w:rsidRPr="005E0D75" w:rsidRDefault="005E0D75" w:rsidP="00E426E3">
      <w:pPr>
        <w:numPr>
          <w:ilvl w:val="1"/>
          <w:numId w:val="11"/>
        </w:numPr>
        <w:tabs>
          <w:tab w:val="clear" w:pos="1440"/>
          <w:tab w:val="num" w:pos="720"/>
        </w:tabs>
        <w:ind w:left="720"/>
      </w:pPr>
      <w:r>
        <w:t>Obecné zásady a principy.</w:t>
      </w:r>
    </w:p>
    <w:p w:rsidR="00E426E3" w:rsidRPr="005E0D75" w:rsidRDefault="00E426E3" w:rsidP="00E426E3">
      <w:pPr>
        <w:numPr>
          <w:ilvl w:val="0"/>
          <w:numId w:val="10"/>
        </w:numPr>
      </w:pPr>
      <w:r w:rsidRPr="005E0D75">
        <w:rPr>
          <w:i/>
        </w:rPr>
        <w:t>Mezinárodní standardy finančního výkaznictví (IFRS).</w:t>
      </w:r>
      <w:r w:rsidRPr="005E0D75">
        <w:t xml:space="preserve"> IASB, zejména:</w:t>
      </w:r>
    </w:p>
    <w:p w:rsidR="00E426E3" w:rsidRPr="005E0D75" w:rsidRDefault="00E426E3" w:rsidP="00E426E3">
      <w:pPr>
        <w:numPr>
          <w:ilvl w:val="1"/>
          <w:numId w:val="11"/>
        </w:numPr>
        <w:tabs>
          <w:tab w:val="clear" w:pos="1440"/>
          <w:tab w:val="num" w:pos="720"/>
        </w:tabs>
        <w:ind w:left="720"/>
      </w:pPr>
      <w:r w:rsidRPr="005E0D75">
        <w:t>IFRS 3 – Podnikové kombinace,</w:t>
      </w:r>
    </w:p>
    <w:p w:rsidR="00E426E3" w:rsidRPr="005E0D75" w:rsidRDefault="00E426E3" w:rsidP="00E426E3">
      <w:pPr>
        <w:numPr>
          <w:ilvl w:val="1"/>
          <w:numId w:val="11"/>
        </w:numPr>
        <w:tabs>
          <w:tab w:val="clear" w:pos="1440"/>
          <w:tab w:val="num" w:pos="720"/>
        </w:tabs>
        <w:ind w:left="720"/>
      </w:pPr>
      <w:r w:rsidRPr="005E0D75">
        <w:t>IFRS 13 – Fair Value,</w:t>
      </w:r>
    </w:p>
    <w:p w:rsidR="00E426E3" w:rsidRPr="005E0D75" w:rsidRDefault="00E426E3" w:rsidP="00E426E3">
      <w:pPr>
        <w:numPr>
          <w:ilvl w:val="1"/>
          <w:numId w:val="11"/>
        </w:numPr>
        <w:tabs>
          <w:tab w:val="clear" w:pos="1440"/>
          <w:tab w:val="num" w:pos="720"/>
        </w:tabs>
        <w:ind w:left="720"/>
      </w:pPr>
      <w:r w:rsidRPr="005E0D75">
        <w:t>IAS 36 – Znehodnocení aktiv,</w:t>
      </w:r>
    </w:p>
    <w:p w:rsidR="00E426E3" w:rsidRPr="005E0D75" w:rsidRDefault="00E426E3" w:rsidP="00E426E3">
      <w:pPr>
        <w:numPr>
          <w:ilvl w:val="1"/>
          <w:numId w:val="11"/>
        </w:numPr>
        <w:tabs>
          <w:tab w:val="clear" w:pos="1440"/>
          <w:tab w:val="num" w:pos="720"/>
        </w:tabs>
        <w:ind w:left="720"/>
      </w:pPr>
      <w:r w:rsidRPr="005E0D75">
        <w:t>IAS 38 – Nehmotná aktiva.</w:t>
      </w:r>
    </w:p>
    <w:p w:rsidR="004E10D2" w:rsidRPr="005E0D75" w:rsidRDefault="00B64CDB" w:rsidP="00B64CDB">
      <w:pPr>
        <w:numPr>
          <w:ilvl w:val="0"/>
          <w:numId w:val="10"/>
        </w:numPr>
      </w:pPr>
      <w:r w:rsidRPr="005E0D75">
        <w:rPr>
          <w:i/>
        </w:rPr>
        <w:t>Směrnice OECD o převodních cenách pro nadnárodní podniky a daňové správy</w:t>
      </w:r>
      <w:r w:rsidR="00F85D27" w:rsidRPr="005E0D75">
        <w:rPr>
          <w:i/>
        </w:rPr>
        <w:t>.</w:t>
      </w:r>
      <w:r w:rsidRPr="005E0D75">
        <w:t xml:space="preserve"> OECD, 1995.</w:t>
      </w:r>
    </w:p>
    <w:p w:rsidR="00B64CDB" w:rsidRPr="005E0D75" w:rsidRDefault="00E426E3" w:rsidP="00E426E3">
      <w:pPr>
        <w:numPr>
          <w:ilvl w:val="0"/>
          <w:numId w:val="11"/>
        </w:numPr>
      </w:pPr>
      <w:r w:rsidRPr="005E0D75">
        <w:t>Zákon č. 513/1991 Sb., obchodního zákoníku.</w:t>
      </w:r>
    </w:p>
    <w:p w:rsidR="00B64CDB" w:rsidRPr="005E0D75" w:rsidRDefault="00E426E3" w:rsidP="00E426E3">
      <w:pPr>
        <w:numPr>
          <w:ilvl w:val="0"/>
          <w:numId w:val="11"/>
        </w:numPr>
      </w:pPr>
      <w:r w:rsidRPr="005E0D75">
        <w:t>Zákon č. 586/1992 Sb., o daních z příjmů.</w:t>
      </w:r>
    </w:p>
    <w:p w:rsidR="00E426E3" w:rsidRPr="005E0D75" w:rsidRDefault="00E426E3" w:rsidP="00E426E3">
      <w:pPr>
        <w:numPr>
          <w:ilvl w:val="0"/>
          <w:numId w:val="11"/>
        </w:numPr>
      </w:pPr>
      <w:r w:rsidRPr="005E0D75">
        <w:t>Zákon č. 221/2006 Sb., o vymáhání práv z průmyslového vlastnictví.</w:t>
      </w:r>
    </w:p>
    <w:p w:rsidR="00B64CDB" w:rsidRDefault="00E426E3" w:rsidP="00B64CDB">
      <w:pPr>
        <w:numPr>
          <w:ilvl w:val="0"/>
          <w:numId w:val="11"/>
        </w:numPr>
      </w:pPr>
      <w:r w:rsidRPr="005E0D75">
        <w:t>Zákon č. 121/2000 Sb., o právu autorském, o právech souvisejících s právem autorským.</w:t>
      </w:r>
    </w:p>
    <w:sectPr w:rsidR="00B64CDB" w:rsidSect="00B41FA4">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897" w:rsidRDefault="00474897">
      <w:pPr>
        <w:spacing w:before="0"/>
      </w:pPr>
      <w:r>
        <w:separator/>
      </w:r>
    </w:p>
  </w:endnote>
  <w:endnote w:type="continuationSeparator" w:id="0">
    <w:p w:rsidR="00474897" w:rsidRDefault="00474897">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D04" w:rsidRDefault="00D0230F" w:rsidP="00D845F2">
    <w:pPr>
      <w:pStyle w:val="Zpat"/>
      <w:framePr w:wrap="around" w:vAnchor="text" w:hAnchor="margin" w:xAlign="right" w:y="1"/>
      <w:rPr>
        <w:rStyle w:val="slostrnky"/>
      </w:rPr>
    </w:pPr>
    <w:r>
      <w:rPr>
        <w:rStyle w:val="slostrnky"/>
      </w:rPr>
      <w:fldChar w:fldCharType="begin"/>
    </w:r>
    <w:r w:rsidR="00B62D04">
      <w:rPr>
        <w:rStyle w:val="slostrnky"/>
      </w:rPr>
      <w:instrText xml:space="preserve">PAGE  </w:instrText>
    </w:r>
    <w:r>
      <w:rPr>
        <w:rStyle w:val="slostrnky"/>
      </w:rPr>
      <w:fldChar w:fldCharType="end"/>
    </w:r>
  </w:p>
  <w:p w:rsidR="00B62D04" w:rsidRDefault="00B62D04" w:rsidP="00D845F2">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E0A" w:rsidRDefault="001A6E0A">
    <w:pPr>
      <w:pStyle w:val="Zpat"/>
      <w:jc w:val="center"/>
    </w:pPr>
    <w:fldSimple w:instr=" PAGE   \* MERGEFORMAT ">
      <w:r>
        <w:rPr>
          <w:noProof/>
        </w:rPr>
        <w:t>1</w:t>
      </w:r>
    </w:fldSimple>
  </w:p>
  <w:p w:rsidR="00B62D04" w:rsidRDefault="00B62D04" w:rsidP="00D845F2">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897" w:rsidRDefault="00474897">
      <w:pPr>
        <w:spacing w:before="0"/>
      </w:pPr>
      <w:r>
        <w:separator/>
      </w:r>
    </w:p>
  </w:footnote>
  <w:footnote w:type="continuationSeparator" w:id="0">
    <w:p w:rsidR="00474897" w:rsidRDefault="00474897">
      <w:pPr>
        <w:spacing w:before="0"/>
      </w:pPr>
      <w:r>
        <w:continuationSeparator/>
      </w:r>
    </w:p>
  </w:footnote>
  <w:footnote w:id="1">
    <w:p w:rsidR="00B62D04" w:rsidRPr="005E0D75" w:rsidRDefault="00B62D04">
      <w:pPr>
        <w:pStyle w:val="Textpoznpodarou"/>
      </w:pPr>
      <w:r w:rsidRPr="005E0D75">
        <w:rPr>
          <w:rStyle w:val="Znakapoznpodarou"/>
        </w:rPr>
        <w:footnoteRef/>
      </w:r>
      <w:r w:rsidRPr="005E0D75">
        <w:t xml:space="preserve"> International Financial Reporting Standards – Mezinárodní standardy finančního výkaznictví </w:t>
      </w:r>
    </w:p>
  </w:footnote>
  <w:footnote w:id="2">
    <w:p w:rsidR="00B62D04" w:rsidRPr="005E0D75" w:rsidRDefault="00B62D04">
      <w:pPr>
        <w:pStyle w:val="Textpoznpodarou"/>
      </w:pPr>
      <w:r w:rsidRPr="005E0D75">
        <w:rPr>
          <w:rStyle w:val="Znakapoznpodarou"/>
        </w:rPr>
        <w:footnoteRef/>
      </w:r>
      <w:r w:rsidRPr="005E0D75">
        <w:t xml:space="preserve"> Směrnice OECD o převodních cenách pro nadnárodní podniky a daňové správy </w:t>
      </w:r>
    </w:p>
  </w:footnote>
  <w:footnote w:id="3">
    <w:p w:rsidR="00B62D04" w:rsidRPr="005E0D75" w:rsidRDefault="00B62D04">
      <w:pPr>
        <w:pStyle w:val="Textpoznpodarou"/>
      </w:pPr>
      <w:r w:rsidRPr="005E0D75">
        <w:rPr>
          <w:rStyle w:val="Znakapoznpodarou"/>
        </w:rPr>
        <w:footnoteRef/>
      </w:r>
      <w:r w:rsidRPr="005E0D75">
        <w:t xml:space="preserve"> pro účely obchodního zákoníku (§196a) a pro účely výpočtu daní z příjmů (§23, odst. 7)</w:t>
      </w:r>
    </w:p>
  </w:footnote>
  <w:footnote w:id="4">
    <w:p w:rsidR="00B62D04" w:rsidRPr="005E0D75" w:rsidRDefault="00B62D04">
      <w:pPr>
        <w:pStyle w:val="Textpoznpodarou"/>
      </w:pPr>
      <w:r w:rsidRPr="005E0D75">
        <w:rPr>
          <w:rStyle w:val="Znakapoznpodarou"/>
        </w:rPr>
        <w:footnoteRef/>
      </w:r>
      <w:r w:rsidRPr="005E0D75">
        <w:t xml:space="preserve"> v situaci, kdy společnost nechává při právní přeměně přecenit na tržní hodnoty dílčí majetkové položky</w:t>
      </w:r>
    </w:p>
  </w:footnote>
  <w:footnote w:id="5">
    <w:p w:rsidR="00B62D04" w:rsidRPr="005E0D75" w:rsidRDefault="00B62D04">
      <w:pPr>
        <w:pStyle w:val="Textpoznpodarou"/>
      </w:pPr>
      <w:r w:rsidRPr="005E0D75">
        <w:rPr>
          <w:rStyle w:val="Znakapoznpodarou"/>
        </w:rPr>
        <w:footnoteRef/>
      </w:r>
      <w:r w:rsidRPr="005E0D75">
        <w:t xml:space="preserve"> zejména pro účely IFRS 3 a následné testování hodnoty nehmotných aktiv (impairment testing) dle IAS 36</w:t>
      </w:r>
    </w:p>
  </w:footnote>
  <w:footnote w:id="6">
    <w:p w:rsidR="00B62D04" w:rsidRPr="005E0D75" w:rsidRDefault="00B62D04">
      <w:pPr>
        <w:pStyle w:val="Textpoznpodarou"/>
      </w:pPr>
      <w:r w:rsidRPr="005E0D75">
        <w:rPr>
          <w:rStyle w:val="Znakapoznpodarou"/>
        </w:rPr>
        <w:footnoteRef/>
      </w:r>
      <w:r w:rsidRPr="005E0D75">
        <w:t xml:space="preserve"> substanční či likvidační ocenění podniku</w:t>
      </w:r>
    </w:p>
  </w:footnote>
  <w:footnote w:id="7">
    <w:p w:rsidR="00B62D04" w:rsidRPr="005E0D75" w:rsidRDefault="00B62D04">
      <w:pPr>
        <w:pStyle w:val="Textpoznpodarou"/>
      </w:pPr>
      <w:r w:rsidRPr="005E0D75">
        <w:rPr>
          <w:rStyle w:val="Znakapoznpodarou"/>
        </w:rPr>
        <w:footnoteRef/>
      </w:r>
      <w:r w:rsidRPr="005E0D75">
        <w:t xml:space="preserve"> dle předpisů pro vymáhání práv z duševního vlastnictví</w:t>
      </w:r>
    </w:p>
  </w:footnote>
  <w:footnote w:id="8">
    <w:p w:rsidR="00B62D04" w:rsidRPr="005E0D75" w:rsidRDefault="00B62D04" w:rsidP="00C959EE">
      <w:pPr>
        <w:pStyle w:val="Textpoznpodarou"/>
      </w:pPr>
      <w:r w:rsidRPr="005E0D75">
        <w:rPr>
          <w:rStyle w:val="Znakapoznpodarou"/>
        </w:rPr>
        <w:footnoteRef/>
      </w:r>
      <w:r w:rsidRPr="005E0D75">
        <w:t xml:space="preserve"> viz GN 4 nebo také IAS 38</w:t>
      </w:r>
    </w:p>
  </w:footnote>
  <w:footnote w:id="9">
    <w:p w:rsidR="00B62D04" w:rsidRPr="005E0D75" w:rsidRDefault="00B62D04">
      <w:pPr>
        <w:pStyle w:val="Textpoznpodarou"/>
      </w:pPr>
      <w:r w:rsidRPr="005E0D75">
        <w:rPr>
          <w:rStyle w:val="Znakapoznpodarou"/>
        </w:rPr>
        <w:footnoteRef/>
      </w:r>
      <w:r w:rsidRPr="005E0D75">
        <w:t xml:space="preserve"> až na výjimky, které právo umožňuje</w:t>
      </w:r>
    </w:p>
  </w:footnote>
  <w:footnote w:id="10">
    <w:p w:rsidR="00B62D04" w:rsidRPr="005E0D75" w:rsidRDefault="00B62D04">
      <w:pPr>
        <w:pStyle w:val="Textpoznpodarou"/>
      </w:pPr>
      <w:r w:rsidRPr="005E0D75">
        <w:rPr>
          <w:rStyle w:val="Znakapoznpodarou"/>
        </w:rPr>
        <w:footnoteRef/>
      </w:r>
      <w:r w:rsidRPr="005E0D75">
        <w:t xml:space="preserve"> viz např. GN 4 (2010), odst. 3.2, stejně jako tendence oceňovat nesmluvní nehmotná aktiva pro účely IFRS 3</w:t>
      </w:r>
    </w:p>
  </w:footnote>
  <w:footnote w:id="11">
    <w:p w:rsidR="00B62D04" w:rsidRPr="005E0D75" w:rsidRDefault="00B62D04">
      <w:pPr>
        <w:pStyle w:val="Textpoznpodarou"/>
      </w:pPr>
      <w:r w:rsidRPr="005E0D75">
        <w:rPr>
          <w:rStyle w:val="Znakapoznpodarou"/>
        </w:rPr>
        <w:footnoteRef/>
      </w:r>
      <w:r w:rsidRPr="005E0D75">
        <w:t xml:space="preserve"> GN 4, kap. 3</w:t>
      </w:r>
    </w:p>
  </w:footnote>
  <w:footnote w:id="12">
    <w:p w:rsidR="00B62D04" w:rsidRPr="005E0D75" w:rsidRDefault="00B62D04">
      <w:pPr>
        <w:pStyle w:val="Textpoznpodarou"/>
      </w:pPr>
      <w:r w:rsidRPr="005E0D75">
        <w:rPr>
          <w:rStyle w:val="Znakapoznpodarou"/>
        </w:rPr>
        <w:footnoteRef/>
      </w:r>
      <w:r w:rsidRPr="005E0D75">
        <w:t xml:space="preserve"> obvykle jsou aktiva ze vztahů definována jako odběratelské a dodavatelské vztahy; zde se přikláníme k širšímu pojetí, neboť v současné době vzniká řada aktiv i na úrovni strategických partnerství (např. licence) či vztahů v rámci podniku (např. manažerské smlouvy)</w:t>
      </w:r>
    </w:p>
  </w:footnote>
  <w:footnote w:id="13">
    <w:p w:rsidR="00B62D04" w:rsidRPr="005E0D75" w:rsidRDefault="00B62D04">
      <w:pPr>
        <w:pStyle w:val="Textpoznpodarou"/>
      </w:pPr>
      <w:r w:rsidRPr="005E0D75">
        <w:rPr>
          <w:rStyle w:val="Znakapoznpodarou"/>
        </w:rPr>
        <w:footnoteRef/>
      </w:r>
      <w:r w:rsidRPr="005E0D75">
        <w:t xml:space="preserve"> IVS 1</w:t>
      </w:r>
    </w:p>
  </w:footnote>
  <w:footnote w:id="14">
    <w:p w:rsidR="00B62D04" w:rsidRPr="005E0D75" w:rsidRDefault="00B62D04" w:rsidP="004C65E2">
      <w:pPr>
        <w:pStyle w:val="Textpoznpodarou"/>
      </w:pPr>
      <w:r w:rsidRPr="005E0D75">
        <w:rPr>
          <w:rStyle w:val="Znakapoznpodarou"/>
        </w:rPr>
        <w:footnoteRef/>
      </w:r>
      <w:r w:rsidRPr="005E0D75">
        <w:t xml:space="preserve"> IVS, </w:t>
      </w:r>
      <w:r w:rsidR="005E0D75">
        <w:t>Obecné zásady a principy</w:t>
      </w:r>
    </w:p>
  </w:footnote>
  <w:footnote w:id="15">
    <w:p w:rsidR="00B62D04" w:rsidRPr="005E0D75" w:rsidRDefault="00B62D04">
      <w:pPr>
        <w:pStyle w:val="Textpoznpodarou"/>
      </w:pPr>
      <w:r w:rsidRPr="005E0D75">
        <w:rPr>
          <w:rStyle w:val="Znakapoznpodarou"/>
        </w:rPr>
        <w:footnoteRef/>
      </w:r>
      <w:r w:rsidRPr="005E0D75">
        <w:t xml:space="preserve"> IFRS 13</w:t>
      </w:r>
    </w:p>
  </w:footnote>
  <w:footnote w:id="16">
    <w:p w:rsidR="00B62D04" w:rsidRPr="005E0D75" w:rsidRDefault="00B62D04">
      <w:pPr>
        <w:pStyle w:val="Textpoznpodarou"/>
      </w:pPr>
      <w:r w:rsidRPr="005E0D75">
        <w:rPr>
          <w:rStyle w:val="Znakapoznpodarou"/>
        </w:rPr>
        <w:footnoteRef/>
      </w:r>
      <w:r w:rsidRPr="005E0D75">
        <w:t xml:space="preserve"> IFRS 13, odst. 26</w:t>
      </w:r>
    </w:p>
  </w:footnote>
  <w:footnote w:id="17">
    <w:p w:rsidR="00B62D04" w:rsidRPr="005E0D75" w:rsidRDefault="00B62D04">
      <w:pPr>
        <w:pStyle w:val="Textpoznpodarou"/>
      </w:pPr>
      <w:r w:rsidRPr="005E0D75">
        <w:rPr>
          <w:rStyle w:val="Znakapoznpodarou"/>
        </w:rPr>
        <w:footnoteRef/>
      </w:r>
      <w:r w:rsidRPr="005E0D75">
        <w:t xml:space="preserve"> IVS 2, odst. 6.1.1.</w:t>
      </w:r>
    </w:p>
  </w:footnote>
  <w:footnote w:id="18">
    <w:p w:rsidR="00B62D04" w:rsidRPr="005E0D75" w:rsidRDefault="00B62D04">
      <w:pPr>
        <w:pStyle w:val="Textpoznpodarou"/>
      </w:pPr>
      <w:r w:rsidRPr="005E0D75">
        <w:rPr>
          <w:rStyle w:val="Znakapoznpodarou"/>
        </w:rPr>
        <w:footnoteRef/>
      </w:r>
      <w:r w:rsidRPr="005E0D75">
        <w:t xml:space="preserve"> např. začleněním nakoupené ochranné známky do portfolia jiných ochranných známek, přičemž hodnota nově vzniklého souboru je vyšší než součet hodnot individuálně využitých ochranných známek, nebo nákup software velkou společností od malé společnosti, přičemž velká společnost začne nakoupený software distribuovat celosvětově a tím několikanásobně zvýší hodnotu samotného software.</w:t>
      </w:r>
    </w:p>
  </w:footnote>
  <w:footnote w:id="19">
    <w:p w:rsidR="00B62D04" w:rsidRPr="005E0D75" w:rsidRDefault="00B62D04">
      <w:pPr>
        <w:pStyle w:val="Textpoznpodarou"/>
      </w:pPr>
      <w:r w:rsidRPr="005E0D75">
        <w:rPr>
          <w:rStyle w:val="Znakapoznpodarou"/>
        </w:rPr>
        <w:footnoteRef/>
      </w:r>
      <w:r w:rsidRPr="005E0D75">
        <w:t xml:space="preserve"> tento názor podporuje i GN 4</w:t>
      </w:r>
    </w:p>
  </w:footnote>
  <w:footnote w:id="20">
    <w:p w:rsidR="00B62D04" w:rsidRPr="005E0D75" w:rsidRDefault="00B62D04">
      <w:pPr>
        <w:pStyle w:val="Textpoznpodarou"/>
      </w:pPr>
      <w:r w:rsidRPr="005E0D75">
        <w:rPr>
          <w:rStyle w:val="Znakapoznpodarou"/>
        </w:rPr>
        <w:footnoteRef/>
      </w:r>
      <w:r w:rsidRPr="005E0D75">
        <w:t xml:space="preserve"> IFRS 13</w:t>
      </w:r>
    </w:p>
  </w:footnote>
  <w:footnote w:id="21">
    <w:p w:rsidR="000838AD" w:rsidRPr="005E0D75" w:rsidRDefault="000838AD">
      <w:pPr>
        <w:pStyle w:val="Textpoznpodarou"/>
      </w:pPr>
      <w:r w:rsidRPr="005E0D75">
        <w:rPr>
          <w:rStyle w:val="Znakapoznpodarou"/>
        </w:rPr>
        <w:footnoteRef/>
      </w:r>
      <w:r w:rsidRPr="005E0D75">
        <w:t xml:space="preserve"> tímto fenoménem se obšírně zabývá Jure</w:t>
      </w:r>
      <w:r w:rsidR="00B64CDB" w:rsidRPr="005E0D75">
        <w:t>čka (2007</w:t>
      </w:r>
      <w:r w:rsidRPr="005E0D75">
        <w:t>)</w:t>
      </w:r>
    </w:p>
  </w:footnote>
  <w:footnote w:id="22">
    <w:p w:rsidR="00B62D04" w:rsidRPr="005E0D75" w:rsidRDefault="00B62D04" w:rsidP="00DF4E6F">
      <w:pPr>
        <w:pStyle w:val="Textpoznpodarou"/>
      </w:pPr>
      <w:r w:rsidRPr="005E0D75">
        <w:rPr>
          <w:rStyle w:val="Znakapoznpodarou"/>
        </w:rPr>
        <w:footnoteRef/>
      </w:r>
      <w:r w:rsidRPr="005E0D75">
        <w:t xml:space="preserve"> v praxi známé jako TAB - </w:t>
      </w:r>
      <w:r w:rsidRPr="005E0D75">
        <w:rPr>
          <w:i/>
        </w:rPr>
        <w:t>Tax Amortisation Benefits</w:t>
      </w:r>
    </w:p>
  </w:footnote>
  <w:footnote w:id="23">
    <w:p w:rsidR="00B62D04" w:rsidRPr="005E0D75" w:rsidRDefault="00B62D04">
      <w:pPr>
        <w:pStyle w:val="Textpoznpodarou"/>
      </w:pPr>
      <w:r w:rsidRPr="005E0D75">
        <w:rPr>
          <w:rStyle w:val="Znakapoznpodarou"/>
        </w:rPr>
        <w:footnoteRef/>
      </w:r>
      <w:r w:rsidRPr="005E0D75">
        <w:t xml:space="preserve"> v souladu s GN 4</w:t>
      </w:r>
    </w:p>
  </w:footnote>
  <w:footnote w:id="24">
    <w:p w:rsidR="0073020F" w:rsidRPr="005E0D75" w:rsidRDefault="0073020F">
      <w:pPr>
        <w:pStyle w:val="Textpoznpodarou"/>
      </w:pPr>
      <w:r w:rsidRPr="005E0D75">
        <w:rPr>
          <w:rStyle w:val="Znakapoznpodarou"/>
        </w:rPr>
        <w:footnoteRef/>
      </w:r>
      <w:r w:rsidRPr="005E0D75">
        <w:t xml:space="preserve"> např. užitek ze započtení daňové ztráty proti zisku vzniklého prodejem nehmotného aktiva</w:t>
      </w:r>
    </w:p>
  </w:footnote>
  <w:footnote w:id="25">
    <w:p w:rsidR="00B62D04" w:rsidRPr="005E0D75" w:rsidRDefault="00B62D04">
      <w:pPr>
        <w:pStyle w:val="Textpoznpodarou"/>
      </w:pPr>
      <w:r w:rsidRPr="005E0D75">
        <w:rPr>
          <w:rStyle w:val="Znakapoznpodarou"/>
        </w:rPr>
        <w:footnoteRef/>
      </w:r>
      <w:r w:rsidRPr="005E0D75">
        <w:t xml:space="preserve"> uvedení hodnotového rozpětí umožňuje metodika OECD v oblasti transferových cen</w:t>
      </w:r>
    </w:p>
  </w:footnote>
  <w:footnote w:id="26">
    <w:p w:rsidR="00B62D04" w:rsidRPr="005E0D75" w:rsidRDefault="00B62D04">
      <w:pPr>
        <w:pStyle w:val="Textpoznpodarou"/>
      </w:pPr>
      <w:r w:rsidRPr="005E0D75">
        <w:rPr>
          <w:rStyle w:val="Znakapoznpodarou"/>
        </w:rPr>
        <w:footnoteRef/>
      </w:r>
      <w:r w:rsidRPr="005E0D75">
        <w:t xml:space="preserve"> někdy je k těmto přístupům řazen zvlášť opční přístup, jehož užití je prakticky velmi omezené a který může </w:t>
      </w:r>
      <w:r w:rsidR="0073020F" w:rsidRPr="005E0D75">
        <w:t>být</w:t>
      </w:r>
      <w:r w:rsidRPr="005E0D75">
        <w:t xml:space="preserve"> považován za </w:t>
      </w:r>
      <w:r w:rsidR="0073020F" w:rsidRPr="005E0D75">
        <w:t>určitou</w:t>
      </w:r>
      <w:r w:rsidRPr="005E0D75">
        <w:t xml:space="preserve"> variantu výnosového přístup</w:t>
      </w:r>
      <w:r w:rsidR="0073020F" w:rsidRPr="005E0D75">
        <w:t>u</w:t>
      </w:r>
      <w:r w:rsidRPr="005E0D75">
        <w:t>.</w:t>
      </w:r>
    </w:p>
  </w:footnote>
  <w:footnote w:id="27">
    <w:p w:rsidR="00B62D04" w:rsidRPr="005E0D75" w:rsidRDefault="00B62D04">
      <w:pPr>
        <w:pStyle w:val="Textpoznpodarou"/>
      </w:pPr>
      <w:r w:rsidRPr="005E0D75">
        <w:rPr>
          <w:rStyle w:val="Znakapoznpodarou"/>
        </w:rPr>
        <w:footnoteRef/>
      </w:r>
      <w:r w:rsidRPr="005E0D75">
        <w:t xml:space="preserve"> Nová GN 4 vymezuje pouze první tři metody výnosového ocenění. V této směrnici ponechávám</w:t>
      </w:r>
      <w:r w:rsidR="004B2F0C" w:rsidRPr="005E0D75">
        <w:t>e</w:t>
      </w:r>
      <w:r w:rsidRPr="005E0D75">
        <w:t xml:space="preserve"> i další dvě metody (metoda podílu na zisku, známá jako metoda 25 procent a metoda čisté současné hodnoty) prakticky používané ve většině případů jako podpůrné metody, v některých vymezených případech však mohou být i metodami hlavními.</w:t>
      </w:r>
    </w:p>
  </w:footnote>
  <w:footnote w:id="28">
    <w:p w:rsidR="00B62D04" w:rsidRPr="005E0D75" w:rsidRDefault="00B62D04">
      <w:pPr>
        <w:pStyle w:val="Textpoznpodarou"/>
      </w:pPr>
      <w:r w:rsidRPr="005E0D75">
        <w:rPr>
          <w:rStyle w:val="Znakapoznpodarou"/>
        </w:rPr>
        <w:footnoteRef/>
      </w:r>
      <w:r w:rsidR="004B2F0C" w:rsidRPr="005E0D75">
        <w:t xml:space="preserve"> N</w:t>
      </w:r>
      <w:r w:rsidRPr="005E0D75">
        <w:t xml:space="preserve">ěkteré účely ocenění (zejména ocenění pro daňové účely dle metodiky OECD nebo vyčíslení škody při porušování práv duševního vlastnictví) mohou stanovit odlišně formulované metody ocenění (např. CUP – </w:t>
      </w:r>
      <w:r w:rsidRPr="005E0D75">
        <w:rPr>
          <w:i/>
        </w:rPr>
        <w:t>Comparable Uncontrolled Price</w:t>
      </w:r>
      <w:r w:rsidRPr="005E0D75">
        <w:t xml:space="preserve"> v metodice OECD); tyto metody jsou však postaveny principiálně na stejných základech jako metody zde uvedené (např. zmíněná CUP odráží principy licenčního obchodu v metodě licenční analogie).</w:t>
      </w:r>
    </w:p>
  </w:footnote>
  <w:footnote w:id="29">
    <w:p w:rsidR="00B62D04" w:rsidRPr="005E0D75" w:rsidRDefault="00B62D04">
      <w:pPr>
        <w:pStyle w:val="Textpoznpodarou"/>
      </w:pPr>
      <w:r w:rsidRPr="005E0D75">
        <w:rPr>
          <w:rStyle w:val="Znakapoznpodarou"/>
        </w:rPr>
        <w:footnoteRef/>
      </w:r>
      <w:r w:rsidRPr="005E0D75">
        <w:t xml:space="preserve"> </w:t>
      </w:r>
      <w:r w:rsidR="004B2F0C" w:rsidRPr="005E0D75">
        <w:t>V</w:t>
      </w:r>
      <w:r w:rsidRPr="005E0D75">
        <w:t> porovnání s např. GN 4 definujeme tuto metodu obecněji jako Metodu prémií nikoli jako metodu Ziskové prémie (</w:t>
      </w:r>
      <w:r w:rsidRPr="005E0D75">
        <w:rPr>
          <w:i/>
        </w:rPr>
        <w:t>Premium Profits Method</w:t>
      </w:r>
      <w:r w:rsidRPr="005E0D75">
        <w:t>); důvodem našeho přístupu je snaha ponechat oceňovateli širší možnosti identifikace přínosu nehmotného aktiva než pouze na úrovni ziskové prémie</w:t>
      </w:r>
      <w:r w:rsidR="004B2F0C" w:rsidRPr="005E0D75">
        <w:t>.</w:t>
      </w:r>
    </w:p>
  </w:footnote>
  <w:footnote w:id="30">
    <w:p w:rsidR="008551AF" w:rsidRPr="005E0D75" w:rsidRDefault="008551AF">
      <w:pPr>
        <w:pStyle w:val="Textpoznpodarou"/>
      </w:pPr>
      <w:r w:rsidRPr="005E0D75">
        <w:rPr>
          <w:rStyle w:val="Znakapoznpodarou"/>
        </w:rPr>
        <w:footnoteRef/>
      </w:r>
      <w:r w:rsidRPr="005E0D75">
        <w:t xml:space="preserve"> známá jako WARA – Weighted Average Return on Assets</w:t>
      </w:r>
    </w:p>
  </w:footnote>
  <w:footnote w:id="31">
    <w:p w:rsidR="008551AF" w:rsidRPr="005E0D75" w:rsidRDefault="008551AF">
      <w:pPr>
        <w:pStyle w:val="Textpoznpodarou"/>
      </w:pPr>
      <w:r w:rsidRPr="005E0D75">
        <w:rPr>
          <w:rStyle w:val="Znakapoznpodarou"/>
        </w:rPr>
        <w:footnoteRef/>
      </w:r>
      <w:r w:rsidRPr="005E0D75">
        <w:t xml:space="preserve"> známá jako WACC – Weighted Average Cost of Capital</w:t>
      </w:r>
    </w:p>
  </w:footnote>
  <w:footnote w:id="32">
    <w:p w:rsidR="004E10D2" w:rsidRDefault="004E10D2">
      <w:pPr>
        <w:pStyle w:val="Textpoznpodarou"/>
      </w:pPr>
      <w:r w:rsidRPr="005E0D75">
        <w:rPr>
          <w:rStyle w:val="Znakapoznpodarou"/>
        </w:rPr>
        <w:footnoteRef/>
      </w:r>
      <w:r w:rsidRPr="005E0D75">
        <w:t xml:space="preserve"> Např. pro účely IFRS je třeba odhadovat Fair Value, zvolit metodu, která odpovídá typu aktiva (např. licenční analogie pro ochrannou známku).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E0A" w:rsidRPr="001A6E0A" w:rsidRDefault="001A6E0A" w:rsidP="001A6E0A">
    <w:pPr>
      <w:pStyle w:val="Zhlav"/>
      <w:pBdr>
        <w:bottom w:val="single" w:sz="4" w:space="1" w:color="auto"/>
      </w:pBdr>
      <w:tabs>
        <w:tab w:val="clear" w:pos="4536"/>
        <w:tab w:val="clear" w:pos="9072"/>
      </w:tabs>
      <w:jc w:val="right"/>
      <w:rPr>
        <w:sz w:val="22"/>
      </w:rPr>
    </w:pPr>
    <w:r w:rsidRPr="00C10466">
      <w:rPr>
        <w:sz w:val="22"/>
      </w:rPr>
      <w:tab/>
      <w:t>VŠE Praha - IOM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9pt;height:9pt" o:bullet="t">
        <v:imagedata r:id="rId1" o:title="BD14655_"/>
      </v:shape>
    </w:pict>
  </w:numPicBullet>
  <w:numPicBullet w:numPicBulletId="1">
    <w:pict>
      <v:shape id="_x0000_i1081" type="#_x0000_t75" style="width:9pt;height:9pt" o:bullet="t">
        <v:imagedata r:id="rId2" o:title="BD10268_"/>
      </v:shape>
    </w:pict>
  </w:numPicBullet>
  <w:numPicBullet w:numPicBulletId="2">
    <w:pict>
      <v:shape id="_x0000_i1082" type="#_x0000_t75" style="width:9pt;height:9pt" o:bullet="t">
        <v:imagedata r:id="rId3" o:title="BD14515_"/>
      </v:shape>
    </w:pict>
  </w:numPicBullet>
  <w:abstractNum w:abstractNumId="0">
    <w:nsid w:val="004D33A8"/>
    <w:multiLevelType w:val="hybridMultilevel"/>
    <w:tmpl w:val="D78005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61B6DAD"/>
    <w:multiLevelType w:val="hybridMultilevel"/>
    <w:tmpl w:val="C66E1D2E"/>
    <w:lvl w:ilvl="0" w:tplc="A9FA74A0">
      <w:start w:val="1"/>
      <w:numFmt w:val="bullet"/>
      <w:lvlText w:val=""/>
      <w:lvlJc w:val="left"/>
      <w:pPr>
        <w:tabs>
          <w:tab w:val="num" w:pos="357"/>
        </w:tabs>
        <w:ind w:left="357" w:hanging="357"/>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137D6250"/>
    <w:multiLevelType w:val="hybridMultilevel"/>
    <w:tmpl w:val="D09ECA8C"/>
    <w:lvl w:ilvl="0" w:tplc="E3FE0668">
      <w:start w:val="1"/>
      <w:numFmt w:val="low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63A732E"/>
    <w:multiLevelType w:val="hybridMultilevel"/>
    <w:tmpl w:val="08D67EA2"/>
    <w:lvl w:ilvl="0" w:tplc="E3FE0668">
      <w:start w:val="1"/>
      <w:numFmt w:val="low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A300E7E"/>
    <w:multiLevelType w:val="hybridMultilevel"/>
    <w:tmpl w:val="64E29314"/>
    <w:lvl w:ilvl="0" w:tplc="A9FA74A0">
      <w:start w:val="1"/>
      <w:numFmt w:val="bullet"/>
      <w:lvlText w:val=""/>
      <w:lvlJc w:val="left"/>
      <w:pPr>
        <w:tabs>
          <w:tab w:val="num" w:pos="357"/>
        </w:tabs>
        <w:ind w:left="357" w:hanging="357"/>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3D1F16E7"/>
    <w:multiLevelType w:val="hybridMultilevel"/>
    <w:tmpl w:val="30546E86"/>
    <w:lvl w:ilvl="0" w:tplc="D43C89C6">
      <w:start w:val="1"/>
      <w:numFmt w:val="bullet"/>
      <w:lvlText w:val=""/>
      <w:lvlPicBulletId w:val="1"/>
      <w:lvlJc w:val="left"/>
      <w:pPr>
        <w:tabs>
          <w:tab w:val="num" w:pos="397"/>
        </w:tabs>
        <w:ind w:left="397" w:hanging="397"/>
      </w:pPr>
      <w:rPr>
        <w:rFonts w:ascii="Symbol" w:hAnsi="Symbol" w:hint="default"/>
        <w:color w:val="auto"/>
        <w:sz w:val="18"/>
        <w:szCs w:val="18"/>
      </w:rPr>
    </w:lvl>
    <w:lvl w:ilvl="1" w:tplc="A01849C6">
      <w:start w:val="1"/>
      <w:numFmt w:val="bullet"/>
      <w:lvlText w:val=""/>
      <w:lvlPicBulletId w:val="2"/>
      <w:lvlJc w:val="left"/>
      <w:pPr>
        <w:tabs>
          <w:tab w:val="num" w:pos="1440"/>
        </w:tabs>
        <w:ind w:left="1440" w:hanging="360"/>
      </w:pPr>
      <w:rPr>
        <w:rFonts w:ascii="Symbol" w:hAnsi="Symbol" w:hint="default"/>
        <w:color w:val="auto"/>
        <w:sz w:val="14"/>
        <w:szCs w:val="14"/>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4CA76886"/>
    <w:multiLevelType w:val="hybridMultilevel"/>
    <w:tmpl w:val="5F444AEE"/>
    <w:lvl w:ilvl="0" w:tplc="F82C76AA">
      <w:start w:val="1"/>
      <w:numFmt w:val="bullet"/>
      <w:lvlText w:val=""/>
      <w:lvlPicBulletId w:val="0"/>
      <w:lvlJc w:val="left"/>
      <w:pPr>
        <w:tabs>
          <w:tab w:val="num" w:pos="717"/>
        </w:tabs>
        <w:ind w:left="717" w:hanging="357"/>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5532186A"/>
    <w:multiLevelType w:val="hybridMultilevel"/>
    <w:tmpl w:val="BA74A974"/>
    <w:lvl w:ilvl="0" w:tplc="A9FA74A0">
      <w:start w:val="1"/>
      <w:numFmt w:val="bullet"/>
      <w:lvlText w:val=""/>
      <w:lvlJc w:val="left"/>
      <w:pPr>
        <w:tabs>
          <w:tab w:val="num" w:pos="424"/>
        </w:tabs>
        <w:ind w:left="424" w:hanging="357"/>
      </w:pPr>
      <w:rPr>
        <w:rFonts w:ascii="Symbol" w:hAnsi="Symbol" w:hint="default"/>
        <w:color w:val="auto"/>
      </w:rPr>
    </w:lvl>
    <w:lvl w:ilvl="1" w:tplc="04050003" w:tentative="1">
      <w:start w:val="1"/>
      <w:numFmt w:val="bullet"/>
      <w:lvlText w:val="o"/>
      <w:lvlJc w:val="left"/>
      <w:pPr>
        <w:tabs>
          <w:tab w:val="num" w:pos="1507"/>
        </w:tabs>
        <w:ind w:left="1507" w:hanging="360"/>
      </w:pPr>
      <w:rPr>
        <w:rFonts w:ascii="Courier New" w:hAnsi="Courier New" w:cs="Courier New" w:hint="default"/>
      </w:rPr>
    </w:lvl>
    <w:lvl w:ilvl="2" w:tplc="04050005" w:tentative="1">
      <w:start w:val="1"/>
      <w:numFmt w:val="bullet"/>
      <w:lvlText w:val=""/>
      <w:lvlJc w:val="left"/>
      <w:pPr>
        <w:tabs>
          <w:tab w:val="num" w:pos="2227"/>
        </w:tabs>
        <w:ind w:left="2227" w:hanging="360"/>
      </w:pPr>
      <w:rPr>
        <w:rFonts w:ascii="Wingdings" w:hAnsi="Wingdings" w:hint="default"/>
      </w:rPr>
    </w:lvl>
    <w:lvl w:ilvl="3" w:tplc="04050001" w:tentative="1">
      <w:start w:val="1"/>
      <w:numFmt w:val="bullet"/>
      <w:lvlText w:val=""/>
      <w:lvlJc w:val="left"/>
      <w:pPr>
        <w:tabs>
          <w:tab w:val="num" w:pos="2947"/>
        </w:tabs>
        <w:ind w:left="2947" w:hanging="360"/>
      </w:pPr>
      <w:rPr>
        <w:rFonts w:ascii="Symbol" w:hAnsi="Symbol" w:hint="default"/>
      </w:rPr>
    </w:lvl>
    <w:lvl w:ilvl="4" w:tplc="04050003" w:tentative="1">
      <w:start w:val="1"/>
      <w:numFmt w:val="bullet"/>
      <w:lvlText w:val="o"/>
      <w:lvlJc w:val="left"/>
      <w:pPr>
        <w:tabs>
          <w:tab w:val="num" w:pos="3667"/>
        </w:tabs>
        <w:ind w:left="3667" w:hanging="360"/>
      </w:pPr>
      <w:rPr>
        <w:rFonts w:ascii="Courier New" w:hAnsi="Courier New" w:cs="Courier New" w:hint="default"/>
      </w:rPr>
    </w:lvl>
    <w:lvl w:ilvl="5" w:tplc="04050005" w:tentative="1">
      <w:start w:val="1"/>
      <w:numFmt w:val="bullet"/>
      <w:lvlText w:val=""/>
      <w:lvlJc w:val="left"/>
      <w:pPr>
        <w:tabs>
          <w:tab w:val="num" w:pos="4387"/>
        </w:tabs>
        <w:ind w:left="4387" w:hanging="360"/>
      </w:pPr>
      <w:rPr>
        <w:rFonts w:ascii="Wingdings" w:hAnsi="Wingdings" w:hint="default"/>
      </w:rPr>
    </w:lvl>
    <w:lvl w:ilvl="6" w:tplc="04050001" w:tentative="1">
      <w:start w:val="1"/>
      <w:numFmt w:val="bullet"/>
      <w:lvlText w:val=""/>
      <w:lvlJc w:val="left"/>
      <w:pPr>
        <w:tabs>
          <w:tab w:val="num" w:pos="5107"/>
        </w:tabs>
        <w:ind w:left="5107" w:hanging="360"/>
      </w:pPr>
      <w:rPr>
        <w:rFonts w:ascii="Symbol" w:hAnsi="Symbol" w:hint="default"/>
      </w:rPr>
    </w:lvl>
    <w:lvl w:ilvl="7" w:tplc="04050003" w:tentative="1">
      <w:start w:val="1"/>
      <w:numFmt w:val="bullet"/>
      <w:lvlText w:val="o"/>
      <w:lvlJc w:val="left"/>
      <w:pPr>
        <w:tabs>
          <w:tab w:val="num" w:pos="5827"/>
        </w:tabs>
        <w:ind w:left="5827" w:hanging="360"/>
      </w:pPr>
      <w:rPr>
        <w:rFonts w:ascii="Courier New" w:hAnsi="Courier New" w:cs="Courier New" w:hint="default"/>
      </w:rPr>
    </w:lvl>
    <w:lvl w:ilvl="8" w:tplc="04050005" w:tentative="1">
      <w:start w:val="1"/>
      <w:numFmt w:val="bullet"/>
      <w:lvlText w:val=""/>
      <w:lvlJc w:val="left"/>
      <w:pPr>
        <w:tabs>
          <w:tab w:val="num" w:pos="6547"/>
        </w:tabs>
        <w:ind w:left="6547" w:hanging="360"/>
      </w:pPr>
      <w:rPr>
        <w:rFonts w:ascii="Wingdings" w:hAnsi="Wingdings" w:hint="default"/>
      </w:rPr>
    </w:lvl>
  </w:abstractNum>
  <w:abstractNum w:abstractNumId="8">
    <w:nsid w:val="571B79F7"/>
    <w:multiLevelType w:val="hybridMultilevel"/>
    <w:tmpl w:val="85DE4068"/>
    <w:lvl w:ilvl="0" w:tplc="D43C89C6">
      <w:start w:val="1"/>
      <w:numFmt w:val="bullet"/>
      <w:lvlText w:val=""/>
      <w:lvlPicBulletId w:val="1"/>
      <w:lvlJc w:val="left"/>
      <w:pPr>
        <w:tabs>
          <w:tab w:val="num" w:pos="397"/>
        </w:tabs>
        <w:ind w:left="397" w:hanging="397"/>
      </w:pPr>
      <w:rPr>
        <w:rFonts w:ascii="Symbol" w:hAnsi="Symbol" w:hint="default"/>
        <w:color w:val="auto"/>
        <w:sz w:val="18"/>
        <w:szCs w:val="18"/>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5D4029DE"/>
    <w:multiLevelType w:val="hybridMultilevel"/>
    <w:tmpl w:val="B5227252"/>
    <w:lvl w:ilvl="0" w:tplc="F82C76AA">
      <w:start w:val="1"/>
      <w:numFmt w:val="bullet"/>
      <w:lvlText w:val=""/>
      <w:lvlPicBulletId w:val="0"/>
      <w:lvlJc w:val="left"/>
      <w:pPr>
        <w:tabs>
          <w:tab w:val="num" w:pos="717"/>
        </w:tabs>
        <w:ind w:left="717" w:hanging="357"/>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721A2CAE"/>
    <w:multiLevelType w:val="multilevel"/>
    <w:tmpl w:val="471EC4AE"/>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567"/>
        </w:tabs>
        <w:ind w:left="567" w:hanging="567"/>
      </w:pPr>
      <w:rPr>
        <w:rFonts w:hint="default"/>
      </w:rPr>
    </w:lvl>
    <w:lvl w:ilvl="2">
      <w:start w:val="1"/>
      <w:numFmt w:val="decimal"/>
      <w:pStyle w:val="Nadpis3"/>
      <w:lvlText w:val="%1.%2.%3"/>
      <w:lvlJc w:val="left"/>
      <w:pPr>
        <w:tabs>
          <w:tab w:val="num" w:pos="680"/>
        </w:tabs>
        <w:ind w:left="1814" w:hanging="1814"/>
      </w:pPr>
      <w:rPr>
        <w:rFonts w:hint="default"/>
      </w:rPr>
    </w:lvl>
    <w:lvl w:ilvl="3">
      <w:start w:val="1"/>
      <w:numFmt w:val="decimal"/>
      <w:pStyle w:val="Nadpis4"/>
      <w:lvlText w:val="%1.%2.%3.%4"/>
      <w:lvlJc w:val="left"/>
      <w:pPr>
        <w:tabs>
          <w:tab w:val="num" w:pos="340"/>
        </w:tabs>
        <w:ind w:left="3459" w:hanging="2892"/>
      </w:pPr>
      <w:rPr>
        <w:rFonts w:hint="default"/>
      </w:rPr>
    </w:lvl>
    <w:lvl w:ilvl="4">
      <w:start w:val="1"/>
      <w:numFmt w:val="decimal"/>
      <w:pStyle w:val="Nadpis5"/>
      <w:lvlText w:val="%1.%2.%3.%4.%5"/>
      <w:lvlJc w:val="left"/>
      <w:pPr>
        <w:tabs>
          <w:tab w:val="num" w:pos="397"/>
        </w:tabs>
        <w:ind w:left="1955" w:hanging="1955"/>
      </w:pPr>
      <w:rPr>
        <w:rFonts w:hint="default"/>
      </w:rPr>
    </w:lvl>
    <w:lvl w:ilvl="5">
      <w:start w:val="1"/>
      <w:numFmt w:val="decimal"/>
      <w:pStyle w:val="Nadpis6"/>
      <w:lvlText w:val="%1.%2.%3.%4.%5.%6"/>
      <w:lvlJc w:val="left"/>
      <w:pPr>
        <w:tabs>
          <w:tab w:val="num" w:pos="2099"/>
        </w:tabs>
        <w:ind w:left="2099" w:hanging="1152"/>
      </w:pPr>
      <w:rPr>
        <w:rFonts w:hint="default"/>
      </w:rPr>
    </w:lvl>
    <w:lvl w:ilvl="6">
      <w:start w:val="1"/>
      <w:numFmt w:val="decimal"/>
      <w:pStyle w:val="Nadpis7"/>
      <w:lvlText w:val="%1.%2.%3.%4.%5.%6.%7"/>
      <w:lvlJc w:val="left"/>
      <w:pPr>
        <w:tabs>
          <w:tab w:val="num" w:pos="2243"/>
        </w:tabs>
        <w:ind w:left="2243" w:hanging="1296"/>
      </w:pPr>
      <w:rPr>
        <w:rFonts w:hint="default"/>
      </w:rPr>
    </w:lvl>
    <w:lvl w:ilvl="7">
      <w:start w:val="1"/>
      <w:numFmt w:val="decimal"/>
      <w:pStyle w:val="Nadpis8"/>
      <w:lvlText w:val="%1.%2.%3.%4.%5.%6.%7.%8"/>
      <w:lvlJc w:val="left"/>
      <w:pPr>
        <w:tabs>
          <w:tab w:val="num" w:pos="2387"/>
        </w:tabs>
        <w:ind w:left="2387" w:hanging="1440"/>
      </w:pPr>
      <w:rPr>
        <w:rFonts w:hint="default"/>
      </w:rPr>
    </w:lvl>
    <w:lvl w:ilvl="8">
      <w:start w:val="1"/>
      <w:numFmt w:val="decimal"/>
      <w:pStyle w:val="Nadpis9"/>
      <w:lvlText w:val="%1.%2.%3.%4.%5.%6.%7.%8.%9"/>
      <w:lvlJc w:val="left"/>
      <w:pPr>
        <w:tabs>
          <w:tab w:val="num" w:pos="2531"/>
        </w:tabs>
        <w:ind w:left="2531" w:hanging="1584"/>
      </w:pPr>
      <w:rPr>
        <w:rFonts w:hint="default"/>
      </w:rPr>
    </w:lvl>
  </w:abstractNum>
  <w:abstractNum w:abstractNumId="11">
    <w:nsid w:val="7AC10549"/>
    <w:multiLevelType w:val="hybridMultilevel"/>
    <w:tmpl w:val="FF3C43C6"/>
    <w:lvl w:ilvl="0" w:tplc="F82C76AA">
      <w:start w:val="1"/>
      <w:numFmt w:val="bullet"/>
      <w:lvlText w:val=""/>
      <w:lvlPicBulletId w:val="0"/>
      <w:lvlJc w:val="left"/>
      <w:pPr>
        <w:tabs>
          <w:tab w:val="num" w:pos="717"/>
        </w:tabs>
        <w:ind w:left="717" w:hanging="357"/>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7F51264B"/>
    <w:multiLevelType w:val="hybridMultilevel"/>
    <w:tmpl w:val="A644F6E8"/>
    <w:lvl w:ilvl="0" w:tplc="A9FA74A0">
      <w:start w:val="1"/>
      <w:numFmt w:val="bullet"/>
      <w:lvlText w:val=""/>
      <w:lvlJc w:val="left"/>
      <w:pPr>
        <w:tabs>
          <w:tab w:val="num" w:pos="424"/>
        </w:tabs>
        <w:ind w:left="424" w:hanging="357"/>
      </w:pPr>
      <w:rPr>
        <w:rFonts w:ascii="Symbol" w:hAnsi="Symbol" w:hint="default"/>
        <w:color w:val="auto"/>
      </w:rPr>
    </w:lvl>
    <w:lvl w:ilvl="1" w:tplc="04050003" w:tentative="1">
      <w:start w:val="1"/>
      <w:numFmt w:val="bullet"/>
      <w:lvlText w:val="o"/>
      <w:lvlJc w:val="left"/>
      <w:pPr>
        <w:tabs>
          <w:tab w:val="num" w:pos="1507"/>
        </w:tabs>
        <w:ind w:left="1507" w:hanging="360"/>
      </w:pPr>
      <w:rPr>
        <w:rFonts w:ascii="Courier New" w:hAnsi="Courier New" w:cs="Courier New" w:hint="default"/>
      </w:rPr>
    </w:lvl>
    <w:lvl w:ilvl="2" w:tplc="04050005" w:tentative="1">
      <w:start w:val="1"/>
      <w:numFmt w:val="bullet"/>
      <w:lvlText w:val=""/>
      <w:lvlJc w:val="left"/>
      <w:pPr>
        <w:tabs>
          <w:tab w:val="num" w:pos="2227"/>
        </w:tabs>
        <w:ind w:left="2227" w:hanging="360"/>
      </w:pPr>
      <w:rPr>
        <w:rFonts w:ascii="Wingdings" w:hAnsi="Wingdings" w:hint="default"/>
      </w:rPr>
    </w:lvl>
    <w:lvl w:ilvl="3" w:tplc="04050001" w:tentative="1">
      <w:start w:val="1"/>
      <w:numFmt w:val="bullet"/>
      <w:lvlText w:val=""/>
      <w:lvlJc w:val="left"/>
      <w:pPr>
        <w:tabs>
          <w:tab w:val="num" w:pos="2947"/>
        </w:tabs>
        <w:ind w:left="2947" w:hanging="360"/>
      </w:pPr>
      <w:rPr>
        <w:rFonts w:ascii="Symbol" w:hAnsi="Symbol" w:hint="default"/>
      </w:rPr>
    </w:lvl>
    <w:lvl w:ilvl="4" w:tplc="04050003" w:tentative="1">
      <w:start w:val="1"/>
      <w:numFmt w:val="bullet"/>
      <w:lvlText w:val="o"/>
      <w:lvlJc w:val="left"/>
      <w:pPr>
        <w:tabs>
          <w:tab w:val="num" w:pos="3667"/>
        </w:tabs>
        <w:ind w:left="3667" w:hanging="360"/>
      </w:pPr>
      <w:rPr>
        <w:rFonts w:ascii="Courier New" w:hAnsi="Courier New" w:cs="Courier New" w:hint="default"/>
      </w:rPr>
    </w:lvl>
    <w:lvl w:ilvl="5" w:tplc="04050005" w:tentative="1">
      <w:start w:val="1"/>
      <w:numFmt w:val="bullet"/>
      <w:lvlText w:val=""/>
      <w:lvlJc w:val="left"/>
      <w:pPr>
        <w:tabs>
          <w:tab w:val="num" w:pos="4387"/>
        </w:tabs>
        <w:ind w:left="4387" w:hanging="360"/>
      </w:pPr>
      <w:rPr>
        <w:rFonts w:ascii="Wingdings" w:hAnsi="Wingdings" w:hint="default"/>
      </w:rPr>
    </w:lvl>
    <w:lvl w:ilvl="6" w:tplc="04050001" w:tentative="1">
      <w:start w:val="1"/>
      <w:numFmt w:val="bullet"/>
      <w:lvlText w:val=""/>
      <w:lvlJc w:val="left"/>
      <w:pPr>
        <w:tabs>
          <w:tab w:val="num" w:pos="5107"/>
        </w:tabs>
        <w:ind w:left="5107" w:hanging="360"/>
      </w:pPr>
      <w:rPr>
        <w:rFonts w:ascii="Symbol" w:hAnsi="Symbol" w:hint="default"/>
      </w:rPr>
    </w:lvl>
    <w:lvl w:ilvl="7" w:tplc="04050003" w:tentative="1">
      <w:start w:val="1"/>
      <w:numFmt w:val="bullet"/>
      <w:lvlText w:val="o"/>
      <w:lvlJc w:val="left"/>
      <w:pPr>
        <w:tabs>
          <w:tab w:val="num" w:pos="5827"/>
        </w:tabs>
        <w:ind w:left="5827" w:hanging="360"/>
      </w:pPr>
      <w:rPr>
        <w:rFonts w:ascii="Courier New" w:hAnsi="Courier New" w:cs="Courier New" w:hint="default"/>
      </w:rPr>
    </w:lvl>
    <w:lvl w:ilvl="8" w:tplc="04050005" w:tentative="1">
      <w:start w:val="1"/>
      <w:numFmt w:val="bullet"/>
      <w:lvlText w:val=""/>
      <w:lvlJc w:val="left"/>
      <w:pPr>
        <w:tabs>
          <w:tab w:val="num" w:pos="6547"/>
        </w:tabs>
        <w:ind w:left="6547" w:hanging="360"/>
      </w:pPr>
      <w:rPr>
        <w:rFonts w:ascii="Wingdings" w:hAnsi="Wingdings" w:hint="default"/>
      </w:rPr>
    </w:lvl>
  </w:abstractNum>
  <w:num w:numId="1">
    <w:abstractNumId w:val="10"/>
  </w:num>
  <w:num w:numId="2">
    <w:abstractNumId w:val="7"/>
  </w:num>
  <w:num w:numId="3">
    <w:abstractNumId w:val="1"/>
  </w:num>
  <w:num w:numId="4">
    <w:abstractNumId w:val="3"/>
  </w:num>
  <w:num w:numId="5">
    <w:abstractNumId w:val="4"/>
  </w:num>
  <w:num w:numId="6">
    <w:abstractNumId w:val="2"/>
  </w:num>
  <w:num w:numId="7">
    <w:abstractNumId w:val="12"/>
  </w:num>
  <w:num w:numId="8">
    <w:abstractNumId w:val="9"/>
  </w:num>
  <w:num w:numId="9">
    <w:abstractNumId w:val="11"/>
  </w:num>
  <w:num w:numId="10">
    <w:abstractNumId w:val="8"/>
  </w:num>
  <w:num w:numId="11">
    <w:abstractNumId w:val="5"/>
  </w:num>
  <w:num w:numId="12">
    <w:abstractNumId w:val="6"/>
  </w:num>
  <w:num w:numId="13">
    <w:abstractNumId w:val="10"/>
  </w:num>
  <w:num w:numId="14">
    <w:abstractNumId w:val="10"/>
  </w:num>
  <w:num w:numId="15">
    <w:abstractNumId w:val="0"/>
  </w:num>
  <w:num w:numId="16">
    <w:abstractNumId w:val="1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oNotTrackMoves/>
  <w:defaultTabStop w:val="708"/>
  <w:hyphenationZone w:val="425"/>
  <w:noPunctuationKerning/>
  <w:characterSpacingControl w:val="doNotCompres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71A14"/>
    <w:rsid w:val="00003A4B"/>
    <w:rsid w:val="0001431E"/>
    <w:rsid w:val="00020EE9"/>
    <w:rsid w:val="00030045"/>
    <w:rsid w:val="00032D49"/>
    <w:rsid w:val="00032F9E"/>
    <w:rsid w:val="00040A64"/>
    <w:rsid w:val="00043B0A"/>
    <w:rsid w:val="00044105"/>
    <w:rsid w:val="00044D57"/>
    <w:rsid w:val="000512D1"/>
    <w:rsid w:val="000644B2"/>
    <w:rsid w:val="00066C71"/>
    <w:rsid w:val="00072318"/>
    <w:rsid w:val="000752AD"/>
    <w:rsid w:val="000838AD"/>
    <w:rsid w:val="0008661E"/>
    <w:rsid w:val="00091780"/>
    <w:rsid w:val="00094595"/>
    <w:rsid w:val="00096F48"/>
    <w:rsid w:val="000A5A04"/>
    <w:rsid w:val="000B052E"/>
    <w:rsid w:val="000B0ADC"/>
    <w:rsid w:val="000B19E7"/>
    <w:rsid w:val="000B2FFC"/>
    <w:rsid w:val="000B6DEF"/>
    <w:rsid w:val="000B78AC"/>
    <w:rsid w:val="000C102D"/>
    <w:rsid w:val="000D55EC"/>
    <w:rsid w:val="000D7551"/>
    <w:rsid w:val="00104005"/>
    <w:rsid w:val="001064E4"/>
    <w:rsid w:val="001075A2"/>
    <w:rsid w:val="00107E53"/>
    <w:rsid w:val="00111C55"/>
    <w:rsid w:val="00120B31"/>
    <w:rsid w:val="00120F17"/>
    <w:rsid w:val="00145616"/>
    <w:rsid w:val="001551C3"/>
    <w:rsid w:val="001559B0"/>
    <w:rsid w:val="00157B2D"/>
    <w:rsid w:val="00161FC1"/>
    <w:rsid w:val="00166D6A"/>
    <w:rsid w:val="001767E5"/>
    <w:rsid w:val="001768A2"/>
    <w:rsid w:val="0018250A"/>
    <w:rsid w:val="00184339"/>
    <w:rsid w:val="001968F0"/>
    <w:rsid w:val="001A348B"/>
    <w:rsid w:val="001A409D"/>
    <w:rsid w:val="001A596B"/>
    <w:rsid w:val="001A619A"/>
    <w:rsid w:val="001A6ACF"/>
    <w:rsid w:val="001A6E0A"/>
    <w:rsid w:val="001A7662"/>
    <w:rsid w:val="001C1B69"/>
    <w:rsid w:val="001C2C7C"/>
    <w:rsid w:val="001C4713"/>
    <w:rsid w:val="001C6803"/>
    <w:rsid w:val="001D0D61"/>
    <w:rsid w:val="001D45EE"/>
    <w:rsid w:val="001D6595"/>
    <w:rsid w:val="001E13DB"/>
    <w:rsid w:val="001E2BEE"/>
    <w:rsid w:val="001E3EEB"/>
    <w:rsid w:val="001F6F62"/>
    <w:rsid w:val="00212E5A"/>
    <w:rsid w:val="00217F21"/>
    <w:rsid w:val="002337DD"/>
    <w:rsid w:val="00235337"/>
    <w:rsid w:val="00244BF5"/>
    <w:rsid w:val="00246EFD"/>
    <w:rsid w:val="00261FC2"/>
    <w:rsid w:val="00262D90"/>
    <w:rsid w:val="00265A29"/>
    <w:rsid w:val="00266818"/>
    <w:rsid w:val="00277DBD"/>
    <w:rsid w:val="00292361"/>
    <w:rsid w:val="002928AA"/>
    <w:rsid w:val="002A4D9E"/>
    <w:rsid w:val="002B01E6"/>
    <w:rsid w:val="002B1651"/>
    <w:rsid w:val="002B3121"/>
    <w:rsid w:val="002B56FB"/>
    <w:rsid w:val="002B6F2A"/>
    <w:rsid w:val="002D1D48"/>
    <w:rsid w:val="002E4C27"/>
    <w:rsid w:val="002F3DDA"/>
    <w:rsid w:val="002F4509"/>
    <w:rsid w:val="002F4972"/>
    <w:rsid w:val="002F5432"/>
    <w:rsid w:val="00302D52"/>
    <w:rsid w:val="00304578"/>
    <w:rsid w:val="003125E5"/>
    <w:rsid w:val="00312837"/>
    <w:rsid w:val="003129C4"/>
    <w:rsid w:val="00315EE8"/>
    <w:rsid w:val="00323756"/>
    <w:rsid w:val="00326424"/>
    <w:rsid w:val="00331CCF"/>
    <w:rsid w:val="00337D90"/>
    <w:rsid w:val="00361BA9"/>
    <w:rsid w:val="00362FA7"/>
    <w:rsid w:val="00364FC1"/>
    <w:rsid w:val="00370613"/>
    <w:rsid w:val="0037115F"/>
    <w:rsid w:val="00372CE1"/>
    <w:rsid w:val="00387F12"/>
    <w:rsid w:val="003967FD"/>
    <w:rsid w:val="003A4204"/>
    <w:rsid w:val="003A455A"/>
    <w:rsid w:val="003A6D66"/>
    <w:rsid w:val="003B0EBC"/>
    <w:rsid w:val="003B1094"/>
    <w:rsid w:val="003B3E87"/>
    <w:rsid w:val="003B6289"/>
    <w:rsid w:val="003B7D14"/>
    <w:rsid w:val="003C7574"/>
    <w:rsid w:val="003D1FD1"/>
    <w:rsid w:val="003D39F6"/>
    <w:rsid w:val="003E1163"/>
    <w:rsid w:val="0040343D"/>
    <w:rsid w:val="00411DC0"/>
    <w:rsid w:val="004203D3"/>
    <w:rsid w:val="00430458"/>
    <w:rsid w:val="00440024"/>
    <w:rsid w:val="00441897"/>
    <w:rsid w:val="00452964"/>
    <w:rsid w:val="00457F37"/>
    <w:rsid w:val="00463F8D"/>
    <w:rsid w:val="0046432E"/>
    <w:rsid w:val="00474897"/>
    <w:rsid w:val="00474A4E"/>
    <w:rsid w:val="004759B2"/>
    <w:rsid w:val="004802F7"/>
    <w:rsid w:val="004808DE"/>
    <w:rsid w:val="004836EE"/>
    <w:rsid w:val="00483E8E"/>
    <w:rsid w:val="004908DB"/>
    <w:rsid w:val="004A2270"/>
    <w:rsid w:val="004A76BE"/>
    <w:rsid w:val="004B2F0C"/>
    <w:rsid w:val="004B7D45"/>
    <w:rsid w:val="004C1C3E"/>
    <w:rsid w:val="004C3AB4"/>
    <w:rsid w:val="004C65E2"/>
    <w:rsid w:val="004D177F"/>
    <w:rsid w:val="004D2652"/>
    <w:rsid w:val="004E10D2"/>
    <w:rsid w:val="004E2FFD"/>
    <w:rsid w:val="004E40FB"/>
    <w:rsid w:val="004E4DC2"/>
    <w:rsid w:val="004F44B2"/>
    <w:rsid w:val="004F6862"/>
    <w:rsid w:val="005007E6"/>
    <w:rsid w:val="00507BFA"/>
    <w:rsid w:val="005146CF"/>
    <w:rsid w:val="00516542"/>
    <w:rsid w:val="0052071A"/>
    <w:rsid w:val="005223BF"/>
    <w:rsid w:val="005267C0"/>
    <w:rsid w:val="00530018"/>
    <w:rsid w:val="005305F0"/>
    <w:rsid w:val="00535C98"/>
    <w:rsid w:val="00545BCB"/>
    <w:rsid w:val="0054664D"/>
    <w:rsid w:val="00560164"/>
    <w:rsid w:val="005625E1"/>
    <w:rsid w:val="00566761"/>
    <w:rsid w:val="00570DFA"/>
    <w:rsid w:val="0058263D"/>
    <w:rsid w:val="00584595"/>
    <w:rsid w:val="00591134"/>
    <w:rsid w:val="005A3666"/>
    <w:rsid w:val="005A5EF9"/>
    <w:rsid w:val="005B6DC1"/>
    <w:rsid w:val="005C17CE"/>
    <w:rsid w:val="005C1A02"/>
    <w:rsid w:val="005C2733"/>
    <w:rsid w:val="005C34C8"/>
    <w:rsid w:val="005C6F2B"/>
    <w:rsid w:val="005D067B"/>
    <w:rsid w:val="005D5E42"/>
    <w:rsid w:val="005E0D75"/>
    <w:rsid w:val="006002DB"/>
    <w:rsid w:val="00605562"/>
    <w:rsid w:val="00610F0A"/>
    <w:rsid w:val="00611E39"/>
    <w:rsid w:val="006200E1"/>
    <w:rsid w:val="006209AE"/>
    <w:rsid w:val="0062188B"/>
    <w:rsid w:val="00632051"/>
    <w:rsid w:val="0063211E"/>
    <w:rsid w:val="00632453"/>
    <w:rsid w:val="0064278F"/>
    <w:rsid w:val="00644288"/>
    <w:rsid w:val="006470EA"/>
    <w:rsid w:val="00656AAF"/>
    <w:rsid w:val="00665C29"/>
    <w:rsid w:val="0067342F"/>
    <w:rsid w:val="00675A67"/>
    <w:rsid w:val="00677EA1"/>
    <w:rsid w:val="00681801"/>
    <w:rsid w:val="00685B7A"/>
    <w:rsid w:val="00686AA1"/>
    <w:rsid w:val="00687183"/>
    <w:rsid w:val="00691F7F"/>
    <w:rsid w:val="00692C88"/>
    <w:rsid w:val="006946D6"/>
    <w:rsid w:val="006A1CA6"/>
    <w:rsid w:val="006A7A5A"/>
    <w:rsid w:val="006B26C7"/>
    <w:rsid w:val="006B3DC6"/>
    <w:rsid w:val="006B4956"/>
    <w:rsid w:val="006C3E8C"/>
    <w:rsid w:val="006C4BC3"/>
    <w:rsid w:val="006D06F7"/>
    <w:rsid w:val="006D08E7"/>
    <w:rsid w:val="006D1702"/>
    <w:rsid w:val="006E6996"/>
    <w:rsid w:val="00700C99"/>
    <w:rsid w:val="007034DB"/>
    <w:rsid w:val="007042DA"/>
    <w:rsid w:val="00706CAD"/>
    <w:rsid w:val="0071696D"/>
    <w:rsid w:val="00720E84"/>
    <w:rsid w:val="00727B14"/>
    <w:rsid w:val="0073020F"/>
    <w:rsid w:val="00737D91"/>
    <w:rsid w:val="00742869"/>
    <w:rsid w:val="0075369C"/>
    <w:rsid w:val="007555A8"/>
    <w:rsid w:val="00756E6D"/>
    <w:rsid w:val="00767DC1"/>
    <w:rsid w:val="00781E78"/>
    <w:rsid w:val="00787F2E"/>
    <w:rsid w:val="0079505D"/>
    <w:rsid w:val="00796FCE"/>
    <w:rsid w:val="00797A27"/>
    <w:rsid w:val="007A7D3C"/>
    <w:rsid w:val="007C089E"/>
    <w:rsid w:val="007C2AF9"/>
    <w:rsid w:val="007C374D"/>
    <w:rsid w:val="007D6475"/>
    <w:rsid w:val="007E02F4"/>
    <w:rsid w:val="007E689A"/>
    <w:rsid w:val="007E6D49"/>
    <w:rsid w:val="007F2F19"/>
    <w:rsid w:val="008008E8"/>
    <w:rsid w:val="008030C8"/>
    <w:rsid w:val="00806F34"/>
    <w:rsid w:val="008160AF"/>
    <w:rsid w:val="00816270"/>
    <w:rsid w:val="00821C51"/>
    <w:rsid w:val="00853635"/>
    <w:rsid w:val="008551AF"/>
    <w:rsid w:val="00856B05"/>
    <w:rsid w:val="008574DA"/>
    <w:rsid w:val="00860BB2"/>
    <w:rsid w:val="00860E8C"/>
    <w:rsid w:val="00870292"/>
    <w:rsid w:val="00877481"/>
    <w:rsid w:val="00881A0C"/>
    <w:rsid w:val="008863B8"/>
    <w:rsid w:val="0089731D"/>
    <w:rsid w:val="008973AA"/>
    <w:rsid w:val="008A2D88"/>
    <w:rsid w:val="008B1A99"/>
    <w:rsid w:val="008B3EA0"/>
    <w:rsid w:val="008B40C7"/>
    <w:rsid w:val="008B52FD"/>
    <w:rsid w:val="008B7E47"/>
    <w:rsid w:val="008C0D7D"/>
    <w:rsid w:val="008C7819"/>
    <w:rsid w:val="008D60B3"/>
    <w:rsid w:val="008D77C5"/>
    <w:rsid w:val="008D7B78"/>
    <w:rsid w:val="008E6F23"/>
    <w:rsid w:val="00900240"/>
    <w:rsid w:val="00900953"/>
    <w:rsid w:val="0090371F"/>
    <w:rsid w:val="00912BB3"/>
    <w:rsid w:val="0091736A"/>
    <w:rsid w:val="009251E3"/>
    <w:rsid w:val="0093114C"/>
    <w:rsid w:val="00936D09"/>
    <w:rsid w:val="009409B3"/>
    <w:rsid w:val="00941A22"/>
    <w:rsid w:val="00945015"/>
    <w:rsid w:val="009460D0"/>
    <w:rsid w:val="009609E8"/>
    <w:rsid w:val="009613F2"/>
    <w:rsid w:val="009640BE"/>
    <w:rsid w:val="00971A14"/>
    <w:rsid w:val="00971A85"/>
    <w:rsid w:val="0097771B"/>
    <w:rsid w:val="00977903"/>
    <w:rsid w:val="00980470"/>
    <w:rsid w:val="009807BC"/>
    <w:rsid w:val="00983122"/>
    <w:rsid w:val="009833C8"/>
    <w:rsid w:val="009A54D6"/>
    <w:rsid w:val="009A657F"/>
    <w:rsid w:val="009A6CC8"/>
    <w:rsid w:val="009A7EDC"/>
    <w:rsid w:val="009B06FD"/>
    <w:rsid w:val="009B1DE4"/>
    <w:rsid w:val="009B232C"/>
    <w:rsid w:val="009B2425"/>
    <w:rsid w:val="009B5187"/>
    <w:rsid w:val="009C450E"/>
    <w:rsid w:val="009C52E2"/>
    <w:rsid w:val="009C72EE"/>
    <w:rsid w:val="009D0EA6"/>
    <w:rsid w:val="009D1973"/>
    <w:rsid w:val="009D4DC8"/>
    <w:rsid w:val="009D53B1"/>
    <w:rsid w:val="009D6754"/>
    <w:rsid w:val="009E67D6"/>
    <w:rsid w:val="009E738A"/>
    <w:rsid w:val="00A06112"/>
    <w:rsid w:val="00A068C7"/>
    <w:rsid w:val="00A06D5B"/>
    <w:rsid w:val="00A07759"/>
    <w:rsid w:val="00A1156C"/>
    <w:rsid w:val="00A157F8"/>
    <w:rsid w:val="00A15CA8"/>
    <w:rsid w:val="00A17B85"/>
    <w:rsid w:val="00A21DDC"/>
    <w:rsid w:val="00A37760"/>
    <w:rsid w:val="00A40768"/>
    <w:rsid w:val="00A41930"/>
    <w:rsid w:val="00A53561"/>
    <w:rsid w:val="00A60EBF"/>
    <w:rsid w:val="00A84B08"/>
    <w:rsid w:val="00A86782"/>
    <w:rsid w:val="00A879D4"/>
    <w:rsid w:val="00A87D05"/>
    <w:rsid w:val="00A9162C"/>
    <w:rsid w:val="00A93C65"/>
    <w:rsid w:val="00A97530"/>
    <w:rsid w:val="00AA2540"/>
    <w:rsid w:val="00AA43A8"/>
    <w:rsid w:val="00AA5423"/>
    <w:rsid w:val="00AB0CD2"/>
    <w:rsid w:val="00AB0CDE"/>
    <w:rsid w:val="00AC2D16"/>
    <w:rsid w:val="00AC654E"/>
    <w:rsid w:val="00AD54D6"/>
    <w:rsid w:val="00AE3E0E"/>
    <w:rsid w:val="00B01424"/>
    <w:rsid w:val="00B02913"/>
    <w:rsid w:val="00B0547E"/>
    <w:rsid w:val="00B05E19"/>
    <w:rsid w:val="00B102BE"/>
    <w:rsid w:val="00B12D51"/>
    <w:rsid w:val="00B17446"/>
    <w:rsid w:val="00B17CF7"/>
    <w:rsid w:val="00B32765"/>
    <w:rsid w:val="00B337FA"/>
    <w:rsid w:val="00B37419"/>
    <w:rsid w:val="00B3772B"/>
    <w:rsid w:val="00B41FA4"/>
    <w:rsid w:val="00B42164"/>
    <w:rsid w:val="00B42455"/>
    <w:rsid w:val="00B42954"/>
    <w:rsid w:val="00B529A8"/>
    <w:rsid w:val="00B546A7"/>
    <w:rsid w:val="00B6125A"/>
    <w:rsid w:val="00B62D04"/>
    <w:rsid w:val="00B64CDB"/>
    <w:rsid w:val="00B80C77"/>
    <w:rsid w:val="00B81CDA"/>
    <w:rsid w:val="00B84547"/>
    <w:rsid w:val="00B94CAC"/>
    <w:rsid w:val="00BA0929"/>
    <w:rsid w:val="00BA1485"/>
    <w:rsid w:val="00BA420F"/>
    <w:rsid w:val="00BB07F9"/>
    <w:rsid w:val="00BB0847"/>
    <w:rsid w:val="00BB55BA"/>
    <w:rsid w:val="00BB5E41"/>
    <w:rsid w:val="00BC1081"/>
    <w:rsid w:val="00BC36E4"/>
    <w:rsid w:val="00BC57FF"/>
    <w:rsid w:val="00BD3D3D"/>
    <w:rsid w:val="00BD4AF8"/>
    <w:rsid w:val="00BD5851"/>
    <w:rsid w:val="00BD653A"/>
    <w:rsid w:val="00BF075F"/>
    <w:rsid w:val="00BF271C"/>
    <w:rsid w:val="00BF5CAA"/>
    <w:rsid w:val="00C01210"/>
    <w:rsid w:val="00C027AC"/>
    <w:rsid w:val="00C03EF1"/>
    <w:rsid w:val="00C06456"/>
    <w:rsid w:val="00C10283"/>
    <w:rsid w:val="00C21407"/>
    <w:rsid w:val="00C22ECA"/>
    <w:rsid w:val="00C24119"/>
    <w:rsid w:val="00C25421"/>
    <w:rsid w:val="00C341B7"/>
    <w:rsid w:val="00C44FEC"/>
    <w:rsid w:val="00C4594D"/>
    <w:rsid w:val="00C60F8E"/>
    <w:rsid w:val="00C67CE1"/>
    <w:rsid w:val="00C908BB"/>
    <w:rsid w:val="00C93A6A"/>
    <w:rsid w:val="00C93CE4"/>
    <w:rsid w:val="00C959EE"/>
    <w:rsid w:val="00C978A5"/>
    <w:rsid w:val="00CA321A"/>
    <w:rsid w:val="00CA6FB7"/>
    <w:rsid w:val="00CC225E"/>
    <w:rsid w:val="00CD097C"/>
    <w:rsid w:val="00CD0BA3"/>
    <w:rsid w:val="00CD50EC"/>
    <w:rsid w:val="00CE2220"/>
    <w:rsid w:val="00CE2A2D"/>
    <w:rsid w:val="00CE5B1C"/>
    <w:rsid w:val="00CF284C"/>
    <w:rsid w:val="00CF4978"/>
    <w:rsid w:val="00CF4C42"/>
    <w:rsid w:val="00CF51EA"/>
    <w:rsid w:val="00D01D71"/>
    <w:rsid w:val="00D0230F"/>
    <w:rsid w:val="00D066D2"/>
    <w:rsid w:val="00D104A7"/>
    <w:rsid w:val="00D2180C"/>
    <w:rsid w:val="00D35903"/>
    <w:rsid w:val="00D35AAD"/>
    <w:rsid w:val="00D36F7D"/>
    <w:rsid w:val="00D37247"/>
    <w:rsid w:val="00D468D7"/>
    <w:rsid w:val="00D5110E"/>
    <w:rsid w:val="00D6020E"/>
    <w:rsid w:val="00D7255E"/>
    <w:rsid w:val="00D763C3"/>
    <w:rsid w:val="00D77108"/>
    <w:rsid w:val="00D845F2"/>
    <w:rsid w:val="00D91635"/>
    <w:rsid w:val="00D954F5"/>
    <w:rsid w:val="00D9557C"/>
    <w:rsid w:val="00DA176D"/>
    <w:rsid w:val="00DA4F64"/>
    <w:rsid w:val="00DB1CEC"/>
    <w:rsid w:val="00DB1E7B"/>
    <w:rsid w:val="00DC12B5"/>
    <w:rsid w:val="00DC134F"/>
    <w:rsid w:val="00DC238D"/>
    <w:rsid w:val="00DC4D5D"/>
    <w:rsid w:val="00DC51DC"/>
    <w:rsid w:val="00DD09E0"/>
    <w:rsid w:val="00DD0D88"/>
    <w:rsid w:val="00DD2EE5"/>
    <w:rsid w:val="00DD3073"/>
    <w:rsid w:val="00DD45D1"/>
    <w:rsid w:val="00DE7BEF"/>
    <w:rsid w:val="00DE7F64"/>
    <w:rsid w:val="00DF0475"/>
    <w:rsid w:val="00DF0558"/>
    <w:rsid w:val="00DF0DE0"/>
    <w:rsid w:val="00DF4E6F"/>
    <w:rsid w:val="00E00B8A"/>
    <w:rsid w:val="00E036DE"/>
    <w:rsid w:val="00E11C94"/>
    <w:rsid w:val="00E16C3B"/>
    <w:rsid w:val="00E2052B"/>
    <w:rsid w:val="00E23039"/>
    <w:rsid w:val="00E24849"/>
    <w:rsid w:val="00E26EA0"/>
    <w:rsid w:val="00E31A44"/>
    <w:rsid w:val="00E351B3"/>
    <w:rsid w:val="00E426E3"/>
    <w:rsid w:val="00E50886"/>
    <w:rsid w:val="00E52057"/>
    <w:rsid w:val="00E57404"/>
    <w:rsid w:val="00E719E3"/>
    <w:rsid w:val="00E76B57"/>
    <w:rsid w:val="00E83635"/>
    <w:rsid w:val="00E85DB2"/>
    <w:rsid w:val="00E95F5C"/>
    <w:rsid w:val="00EA27A1"/>
    <w:rsid w:val="00EA3996"/>
    <w:rsid w:val="00EB5337"/>
    <w:rsid w:val="00EC7366"/>
    <w:rsid w:val="00EE090B"/>
    <w:rsid w:val="00EE61CE"/>
    <w:rsid w:val="00EF3DA4"/>
    <w:rsid w:val="00EF5253"/>
    <w:rsid w:val="00EF6680"/>
    <w:rsid w:val="00EF694F"/>
    <w:rsid w:val="00EF7F29"/>
    <w:rsid w:val="00F00D12"/>
    <w:rsid w:val="00F06793"/>
    <w:rsid w:val="00F104EF"/>
    <w:rsid w:val="00F212C7"/>
    <w:rsid w:val="00F2292C"/>
    <w:rsid w:val="00F22E40"/>
    <w:rsid w:val="00F25BF4"/>
    <w:rsid w:val="00F4141D"/>
    <w:rsid w:val="00F45A93"/>
    <w:rsid w:val="00F531A5"/>
    <w:rsid w:val="00F53CD6"/>
    <w:rsid w:val="00F56AB8"/>
    <w:rsid w:val="00F72722"/>
    <w:rsid w:val="00F83506"/>
    <w:rsid w:val="00F85D27"/>
    <w:rsid w:val="00F869BB"/>
    <w:rsid w:val="00F95669"/>
    <w:rsid w:val="00FA42DE"/>
    <w:rsid w:val="00FB41D6"/>
    <w:rsid w:val="00FB4BD8"/>
    <w:rsid w:val="00FC5D5C"/>
    <w:rsid w:val="00FD747F"/>
    <w:rsid w:val="00FE3A87"/>
    <w:rsid w:val="00FE4E8F"/>
    <w:rsid w:val="00FE6E62"/>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F4972"/>
    <w:pPr>
      <w:spacing w:before="120"/>
      <w:jc w:val="both"/>
    </w:pPr>
    <w:rPr>
      <w:sz w:val="24"/>
      <w:szCs w:val="24"/>
    </w:rPr>
  </w:style>
  <w:style w:type="paragraph" w:styleId="Nadpis1">
    <w:name w:val="heading 1"/>
    <w:basedOn w:val="Normln"/>
    <w:next w:val="Normln"/>
    <w:qFormat/>
    <w:rsid w:val="00441897"/>
    <w:pPr>
      <w:keepNext/>
      <w:numPr>
        <w:numId w:val="1"/>
      </w:numPr>
      <w:spacing w:before="240" w:after="60"/>
      <w:outlineLvl w:val="0"/>
    </w:pPr>
    <w:rPr>
      <w:rFonts w:ascii="Arial" w:hAnsi="Arial" w:cs="Arial"/>
      <w:b/>
      <w:bCs/>
      <w:kern w:val="32"/>
      <w:szCs w:val="32"/>
    </w:rPr>
  </w:style>
  <w:style w:type="paragraph" w:styleId="Nadpis2">
    <w:name w:val="heading 2"/>
    <w:basedOn w:val="Normln"/>
    <w:next w:val="Normln"/>
    <w:qFormat/>
    <w:rsid w:val="00441897"/>
    <w:pPr>
      <w:keepNext/>
      <w:numPr>
        <w:ilvl w:val="1"/>
        <w:numId w:val="1"/>
      </w:numPr>
      <w:outlineLvl w:val="1"/>
    </w:pPr>
    <w:rPr>
      <w:rFonts w:cs="Arial"/>
      <w:b/>
      <w:bCs/>
      <w:i/>
      <w:iCs/>
      <w:szCs w:val="28"/>
    </w:rPr>
  </w:style>
  <w:style w:type="paragraph" w:styleId="Nadpis3">
    <w:name w:val="heading 3"/>
    <w:basedOn w:val="Normln"/>
    <w:next w:val="Normln"/>
    <w:qFormat/>
    <w:rsid w:val="00441897"/>
    <w:pPr>
      <w:keepNext/>
      <w:numPr>
        <w:ilvl w:val="2"/>
        <w:numId w:val="1"/>
      </w:numPr>
      <w:spacing w:before="240" w:after="60"/>
      <w:outlineLvl w:val="2"/>
    </w:pPr>
    <w:rPr>
      <w:rFonts w:cs="Arial"/>
      <w:b/>
      <w:bCs/>
      <w:szCs w:val="26"/>
    </w:rPr>
  </w:style>
  <w:style w:type="paragraph" w:styleId="Nadpis4">
    <w:name w:val="heading 4"/>
    <w:basedOn w:val="Normln"/>
    <w:next w:val="Normln"/>
    <w:qFormat/>
    <w:rsid w:val="00441897"/>
    <w:pPr>
      <w:keepNext/>
      <w:numPr>
        <w:ilvl w:val="3"/>
        <w:numId w:val="1"/>
      </w:numPr>
      <w:outlineLvl w:val="3"/>
    </w:pPr>
    <w:rPr>
      <w:bCs/>
      <w:szCs w:val="28"/>
    </w:rPr>
  </w:style>
  <w:style w:type="paragraph" w:styleId="Nadpis5">
    <w:name w:val="heading 5"/>
    <w:basedOn w:val="Normln"/>
    <w:next w:val="Normln"/>
    <w:qFormat/>
    <w:rsid w:val="00441897"/>
    <w:pPr>
      <w:numPr>
        <w:ilvl w:val="4"/>
        <w:numId w:val="1"/>
      </w:numPr>
      <w:spacing w:before="240" w:after="60"/>
      <w:outlineLvl w:val="4"/>
    </w:pPr>
    <w:rPr>
      <w:b/>
      <w:bCs/>
      <w:i/>
      <w:iCs/>
      <w:sz w:val="26"/>
      <w:szCs w:val="26"/>
    </w:rPr>
  </w:style>
  <w:style w:type="paragraph" w:styleId="Nadpis6">
    <w:name w:val="heading 6"/>
    <w:basedOn w:val="Normln"/>
    <w:next w:val="Normln"/>
    <w:qFormat/>
    <w:rsid w:val="00441897"/>
    <w:pPr>
      <w:numPr>
        <w:ilvl w:val="5"/>
        <w:numId w:val="1"/>
      </w:numPr>
      <w:spacing w:before="240" w:after="60"/>
      <w:outlineLvl w:val="5"/>
    </w:pPr>
    <w:rPr>
      <w:b/>
      <w:bCs/>
      <w:sz w:val="22"/>
      <w:szCs w:val="22"/>
    </w:rPr>
  </w:style>
  <w:style w:type="paragraph" w:styleId="Nadpis7">
    <w:name w:val="heading 7"/>
    <w:basedOn w:val="Normln"/>
    <w:next w:val="Normln"/>
    <w:qFormat/>
    <w:rsid w:val="00441897"/>
    <w:pPr>
      <w:numPr>
        <w:ilvl w:val="6"/>
        <w:numId w:val="1"/>
      </w:numPr>
      <w:spacing w:before="240" w:after="60"/>
      <w:outlineLvl w:val="6"/>
    </w:pPr>
  </w:style>
  <w:style w:type="paragraph" w:styleId="Nadpis8">
    <w:name w:val="heading 8"/>
    <w:basedOn w:val="Normln"/>
    <w:next w:val="Normln"/>
    <w:qFormat/>
    <w:rsid w:val="00441897"/>
    <w:pPr>
      <w:numPr>
        <w:ilvl w:val="7"/>
        <w:numId w:val="1"/>
      </w:numPr>
      <w:spacing w:before="240" w:after="60"/>
      <w:outlineLvl w:val="7"/>
    </w:pPr>
    <w:rPr>
      <w:i/>
      <w:iCs/>
    </w:rPr>
  </w:style>
  <w:style w:type="paragraph" w:styleId="Nadpis9">
    <w:name w:val="heading 9"/>
    <w:basedOn w:val="Normln"/>
    <w:next w:val="Normln"/>
    <w:qFormat/>
    <w:rsid w:val="00441897"/>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D845F2"/>
    <w:pPr>
      <w:tabs>
        <w:tab w:val="center" w:pos="4536"/>
        <w:tab w:val="right" w:pos="9072"/>
      </w:tabs>
    </w:pPr>
  </w:style>
  <w:style w:type="character" w:styleId="slostrnky">
    <w:name w:val="page number"/>
    <w:basedOn w:val="Standardnpsmoodstavce"/>
    <w:rsid w:val="00D845F2"/>
  </w:style>
  <w:style w:type="paragraph" w:styleId="Textpoznpodarou">
    <w:name w:val="footnote text"/>
    <w:basedOn w:val="Normln"/>
    <w:link w:val="TextpoznpodarouChar"/>
    <w:semiHidden/>
    <w:rsid w:val="003A6D66"/>
    <w:rPr>
      <w:sz w:val="20"/>
      <w:szCs w:val="20"/>
    </w:rPr>
  </w:style>
  <w:style w:type="character" w:styleId="Znakapoznpodarou">
    <w:name w:val="footnote reference"/>
    <w:basedOn w:val="Standardnpsmoodstavce"/>
    <w:semiHidden/>
    <w:rsid w:val="003A6D66"/>
    <w:rPr>
      <w:vertAlign w:val="superscript"/>
    </w:rPr>
  </w:style>
  <w:style w:type="character" w:styleId="Hypertextovodkaz">
    <w:name w:val="Hyperlink"/>
    <w:basedOn w:val="Standardnpsmoodstavce"/>
    <w:uiPriority w:val="99"/>
    <w:rsid w:val="007C089E"/>
    <w:rPr>
      <w:color w:val="0000FF"/>
      <w:u w:val="single"/>
    </w:rPr>
  </w:style>
  <w:style w:type="paragraph" w:styleId="Obsah1">
    <w:name w:val="toc 1"/>
    <w:basedOn w:val="Normln"/>
    <w:next w:val="Normln"/>
    <w:autoRedefine/>
    <w:uiPriority w:val="39"/>
    <w:rsid w:val="00441897"/>
    <w:pPr>
      <w:tabs>
        <w:tab w:val="left" w:pos="480"/>
        <w:tab w:val="right" w:leader="dot" w:pos="9062"/>
      </w:tabs>
      <w:spacing w:before="0" w:after="60"/>
    </w:pPr>
  </w:style>
  <w:style w:type="character" w:styleId="Odkaznakoment">
    <w:name w:val="annotation reference"/>
    <w:basedOn w:val="Standardnpsmoodstavce"/>
    <w:semiHidden/>
    <w:rsid w:val="00A40768"/>
    <w:rPr>
      <w:sz w:val="16"/>
      <w:szCs w:val="16"/>
    </w:rPr>
  </w:style>
  <w:style w:type="paragraph" w:styleId="Textkomente">
    <w:name w:val="annotation text"/>
    <w:basedOn w:val="Normln"/>
    <w:semiHidden/>
    <w:rsid w:val="00A40768"/>
    <w:rPr>
      <w:sz w:val="20"/>
      <w:szCs w:val="20"/>
    </w:rPr>
  </w:style>
  <w:style w:type="paragraph" w:styleId="Pedmtkomente">
    <w:name w:val="annotation subject"/>
    <w:basedOn w:val="Textkomente"/>
    <w:next w:val="Textkomente"/>
    <w:semiHidden/>
    <w:rsid w:val="00A40768"/>
    <w:rPr>
      <w:b/>
      <w:bCs/>
    </w:rPr>
  </w:style>
  <w:style w:type="paragraph" w:styleId="Textbubliny">
    <w:name w:val="Balloon Text"/>
    <w:basedOn w:val="Normln"/>
    <w:semiHidden/>
    <w:rsid w:val="00A40768"/>
    <w:rPr>
      <w:rFonts w:ascii="Tahoma" w:hAnsi="Tahoma"/>
      <w:sz w:val="16"/>
      <w:szCs w:val="16"/>
    </w:rPr>
  </w:style>
  <w:style w:type="paragraph" w:styleId="Obsah2">
    <w:name w:val="toc 2"/>
    <w:basedOn w:val="Normln"/>
    <w:next w:val="Normln"/>
    <w:autoRedefine/>
    <w:uiPriority w:val="39"/>
    <w:rsid w:val="00441897"/>
    <w:pPr>
      <w:tabs>
        <w:tab w:val="left" w:pos="960"/>
        <w:tab w:val="right" w:leader="dot" w:pos="9062"/>
      </w:tabs>
      <w:spacing w:before="0"/>
      <w:ind w:left="238"/>
    </w:pPr>
    <w:rPr>
      <w:i/>
    </w:rPr>
  </w:style>
  <w:style w:type="paragraph" w:styleId="Obsah3">
    <w:name w:val="toc 3"/>
    <w:basedOn w:val="Normln"/>
    <w:next w:val="Normln"/>
    <w:autoRedefine/>
    <w:uiPriority w:val="39"/>
    <w:rsid w:val="00441897"/>
    <w:pPr>
      <w:spacing w:before="0"/>
      <w:ind w:left="482"/>
    </w:pPr>
    <w:rPr>
      <w:sz w:val="20"/>
    </w:rPr>
  </w:style>
  <w:style w:type="character" w:customStyle="1" w:styleId="TextpoznpodarouChar">
    <w:name w:val="Text pozn. pod čarou Char"/>
    <w:basedOn w:val="Standardnpsmoodstavce"/>
    <w:link w:val="Textpoznpodarou"/>
    <w:semiHidden/>
    <w:rsid w:val="000B0ADC"/>
  </w:style>
  <w:style w:type="paragraph" w:styleId="Odstavecseseznamem">
    <w:name w:val="List Paragraph"/>
    <w:basedOn w:val="Normln"/>
    <w:uiPriority w:val="34"/>
    <w:qFormat/>
    <w:rsid w:val="007042DA"/>
    <w:pPr>
      <w:spacing w:before="0"/>
      <w:ind w:left="720"/>
      <w:contextualSpacing/>
    </w:pPr>
    <w:rPr>
      <w:color w:val="000000"/>
      <w:szCs w:val="20"/>
      <w:lang w:val="en-US"/>
    </w:rPr>
  </w:style>
  <w:style w:type="character" w:customStyle="1" w:styleId="apple-style-span">
    <w:name w:val="apple-style-span"/>
    <w:basedOn w:val="Standardnpsmoodstavce"/>
    <w:rsid w:val="00E426E3"/>
  </w:style>
  <w:style w:type="character" w:customStyle="1" w:styleId="apple-converted-space">
    <w:name w:val="apple-converted-space"/>
    <w:basedOn w:val="Standardnpsmoodstavce"/>
    <w:rsid w:val="00E426E3"/>
  </w:style>
  <w:style w:type="character" w:styleId="Zvraznn">
    <w:name w:val="Emphasis"/>
    <w:basedOn w:val="Standardnpsmoodstavce"/>
    <w:uiPriority w:val="20"/>
    <w:qFormat/>
    <w:rsid w:val="00E426E3"/>
    <w:rPr>
      <w:i/>
      <w:iCs/>
    </w:rPr>
  </w:style>
  <w:style w:type="paragraph" w:styleId="Zhlav">
    <w:name w:val="header"/>
    <w:basedOn w:val="Normln"/>
    <w:link w:val="ZhlavChar"/>
    <w:uiPriority w:val="99"/>
    <w:semiHidden/>
    <w:unhideWhenUsed/>
    <w:rsid w:val="001A6E0A"/>
    <w:pPr>
      <w:tabs>
        <w:tab w:val="center" w:pos="4536"/>
        <w:tab w:val="right" w:pos="9072"/>
      </w:tabs>
    </w:pPr>
  </w:style>
  <w:style w:type="character" w:customStyle="1" w:styleId="ZhlavChar">
    <w:name w:val="Záhlaví Char"/>
    <w:basedOn w:val="Standardnpsmoodstavce"/>
    <w:link w:val="Zhlav"/>
    <w:uiPriority w:val="99"/>
    <w:semiHidden/>
    <w:rsid w:val="001A6E0A"/>
    <w:rPr>
      <w:sz w:val="24"/>
      <w:szCs w:val="24"/>
    </w:rPr>
  </w:style>
  <w:style w:type="character" w:customStyle="1" w:styleId="ZpatChar">
    <w:name w:val="Zápatí Char"/>
    <w:basedOn w:val="Standardnpsmoodstavce"/>
    <w:link w:val="Zpat"/>
    <w:uiPriority w:val="99"/>
    <w:rsid w:val="001A6E0A"/>
    <w:rPr>
      <w:sz w:val="24"/>
      <w:szCs w:val="24"/>
    </w:rPr>
  </w:style>
</w:styles>
</file>

<file path=word/webSettings.xml><?xml version="1.0" encoding="utf-8"?>
<w:webSettings xmlns:r="http://schemas.openxmlformats.org/officeDocument/2006/relationships" xmlns:w="http://schemas.openxmlformats.org/wordprocessingml/2006/main">
  <w:divs>
    <w:div w:id="156317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5C6921C-5590-4BBC-B531-897F253C2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12</Pages>
  <Words>4244</Words>
  <Characters>25042</Characters>
  <Application>Microsoft Office Word</Application>
  <DocSecurity>0</DocSecurity>
  <Lines>208</Lines>
  <Paragraphs>58</Paragraphs>
  <ScaleCrop>false</ScaleCrop>
  <HeadingPairs>
    <vt:vector size="2" baseType="variant">
      <vt:variant>
        <vt:lpstr>Název</vt:lpstr>
      </vt:variant>
      <vt:variant>
        <vt:i4>1</vt:i4>
      </vt:variant>
    </vt:vector>
  </HeadingPairs>
  <TitlesOfParts>
    <vt:vector size="1" baseType="lpstr">
      <vt:lpstr>Výtah IVS</vt:lpstr>
    </vt:vector>
  </TitlesOfParts>
  <Company/>
  <LinksUpToDate>false</LinksUpToDate>
  <CharactersWithSpaces>29228</CharactersWithSpaces>
  <SharedDoc>false</SharedDoc>
  <HLinks>
    <vt:vector size="90" baseType="variant">
      <vt:variant>
        <vt:i4>1638459</vt:i4>
      </vt:variant>
      <vt:variant>
        <vt:i4>86</vt:i4>
      </vt:variant>
      <vt:variant>
        <vt:i4>0</vt:i4>
      </vt:variant>
      <vt:variant>
        <vt:i4>5</vt:i4>
      </vt:variant>
      <vt:variant>
        <vt:lpwstr/>
      </vt:variant>
      <vt:variant>
        <vt:lpwstr>_Toc209788811</vt:lpwstr>
      </vt:variant>
      <vt:variant>
        <vt:i4>1638459</vt:i4>
      </vt:variant>
      <vt:variant>
        <vt:i4>80</vt:i4>
      </vt:variant>
      <vt:variant>
        <vt:i4>0</vt:i4>
      </vt:variant>
      <vt:variant>
        <vt:i4>5</vt:i4>
      </vt:variant>
      <vt:variant>
        <vt:lpwstr/>
      </vt:variant>
      <vt:variant>
        <vt:lpwstr>_Toc209788810</vt:lpwstr>
      </vt:variant>
      <vt:variant>
        <vt:i4>1572923</vt:i4>
      </vt:variant>
      <vt:variant>
        <vt:i4>74</vt:i4>
      </vt:variant>
      <vt:variant>
        <vt:i4>0</vt:i4>
      </vt:variant>
      <vt:variant>
        <vt:i4>5</vt:i4>
      </vt:variant>
      <vt:variant>
        <vt:lpwstr/>
      </vt:variant>
      <vt:variant>
        <vt:lpwstr>_Toc209788809</vt:lpwstr>
      </vt:variant>
      <vt:variant>
        <vt:i4>1572923</vt:i4>
      </vt:variant>
      <vt:variant>
        <vt:i4>68</vt:i4>
      </vt:variant>
      <vt:variant>
        <vt:i4>0</vt:i4>
      </vt:variant>
      <vt:variant>
        <vt:i4>5</vt:i4>
      </vt:variant>
      <vt:variant>
        <vt:lpwstr/>
      </vt:variant>
      <vt:variant>
        <vt:lpwstr>_Toc209788808</vt:lpwstr>
      </vt:variant>
      <vt:variant>
        <vt:i4>1572923</vt:i4>
      </vt:variant>
      <vt:variant>
        <vt:i4>62</vt:i4>
      </vt:variant>
      <vt:variant>
        <vt:i4>0</vt:i4>
      </vt:variant>
      <vt:variant>
        <vt:i4>5</vt:i4>
      </vt:variant>
      <vt:variant>
        <vt:lpwstr/>
      </vt:variant>
      <vt:variant>
        <vt:lpwstr>_Toc209788807</vt:lpwstr>
      </vt:variant>
      <vt:variant>
        <vt:i4>1572923</vt:i4>
      </vt:variant>
      <vt:variant>
        <vt:i4>56</vt:i4>
      </vt:variant>
      <vt:variant>
        <vt:i4>0</vt:i4>
      </vt:variant>
      <vt:variant>
        <vt:i4>5</vt:i4>
      </vt:variant>
      <vt:variant>
        <vt:lpwstr/>
      </vt:variant>
      <vt:variant>
        <vt:lpwstr>_Toc209788806</vt:lpwstr>
      </vt:variant>
      <vt:variant>
        <vt:i4>1572923</vt:i4>
      </vt:variant>
      <vt:variant>
        <vt:i4>50</vt:i4>
      </vt:variant>
      <vt:variant>
        <vt:i4>0</vt:i4>
      </vt:variant>
      <vt:variant>
        <vt:i4>5</vt:i4>
      </vt:variant>
      <vt:variant>
        <vt:lpwstr/>
      </vt:variant>
      <vt:variant>
        <vt:lpwstr>_Toc209788805</vt:lpwstr>
      </vt:variant>
      <vt:variant>
        <vt:i4>1572923</vt:i4>
      </vt:variant>
      <vt:variant>
        <vt:i4>44</vt:i4>
      </vt:variant>
      <vt:variant>
        <vt:i4>0</vt:i4>
      </vt:variant>
      <vt:variant>
        <vt:i4>5</vt:i4>
      </vt:variant>
      <vt:variant>
        <vt:lpwstr/>
      </vt:variant>
      <vt:variant>
        <vt:lpwstr>_Toc209788804</vt:lpwstr>
      </vt:variant>
      <vt:variant>
        <vt:i4>1572923</vt:i4>
      </vt:variant>
      <vt:variant>
        <vt:i4>38</vt:i4>
      </vt:variant>
      <vt:variant>
        <vt:i4>0</vt:i4>
      </vt:variant>
      <vt:variant>
        <vt:i4>5</vt:i4>
      </vt:variant>
      <vt:variant>
        <vt:lpwstr/>
      </vt:variant>
      <vt:variant>
        <vt:lpwstr>_Toc209788803</vt:lpwstr>
      </vt:variant>
      <vt:variant>
        <vt:i4>1572923</vt:i4>
      </vt:variant>
      <vt:variant>
        <vt:i4>32</vt:i4>
      </vt:variant>
      <vt:variant>
        <vt:i4>0</vt:i4>
      </vt:variant>
      <vt:variant>
        <vt:i4>5</vt:i4>
      </vt:variant>
      <vt:variant>
        <vt:lpwstr/>
      </vt:variant>
      <vt:variant>
        <vt:lpwstr>_Toc209788802</vt:lpwstr>
      </vt:variant>
      <vt:variant>
        <vt:i4>1572923</vt:i4>
      </vt:variant>
      <vt:variant>
        <vt:i4>26</vt:i4>
      </vt:variant>
      <vt:variant>
        <vt:i4>0</vt:i4>
      </vt:variant>
      <vt:variant>
        <vt:i4>5</vt:i4>
      </vt:variant>
      <vt:variant>
        <vt:lpwstr/>
      </vt:variant>
      <vt:variant>
        <vt:lpwstr>_Toc209788801</vt:lpwstr>
      </vt:variant>
      <vt:variant>
        <vt:i4>1572923</vt:i4>
      </vt:variant>
      <vt:variant>
        <vt:i4>20</vt:i4>
      </vt:variant>
      <vt:variant>
        <vt:i4>0</vt:i4>
      </vt:variant>
      <vt:variant>
        <vt:i4>5</vt:i4>
      </vt:variant>
      <vt:variant>
        <vt:lpwstr/>
      </vt:variant>
      <vt:variant>
        <vt:lpwstr>_Toc209788800</vt:lpwstr>
      </vt:variant>
      <vt:variant>
        <vt:i4>1114164</vt:i4>
      </vt:variant>
      <vt:variant>
        <vt:i4>14</vt:i4>
      </vt:variant>
      <vt:variant>
        <vt:i4>0</vt:i4>
      </vt:variant>
      <vt:variant>
        <vt:i4>5</vt:i4>
      </vt:variant>
      <vt:variant>
        <vt:lpwstr/>
      </vt:variant>
      <vt:variant>
        <vt:lpwstr>_Toc209788799</vt:lpwstr>
      </vt:variant>
      <vt:variant>
        <vt:i4>1114164</vt:i4>
      </vt:variant>
      <vt:variant>
        <vt:i4>8</vt:i4>
      </vt:variant>
      <vt:variant>
        <vt:i4>0</vt:i4>
      </vt:variant>
      <vt:variant>
        <vt:i4>5</vt:i4>
      </vt:variant>
      <vt:variant>
        <vt:lpwstr/>
      </vt:variant>
      <vt:variant>
        <vt:lpwstr>_Toc209788798</vt:lpwstr>
      </vt:variant>
      <vt:variant>
        <vt:i4>1114164</vt:i4>
      </vt:variant>
      <vt:variant>
        <vt:i4>2</vt:i4>
      </vt:variant>
      <vt:variant>
        <vt:i4>0</vt:i4>
      </vt:variant>
      <vt:variant>
        <vt:i4>5</vt:i4>
      </vt:variant>
      <vt:variant>
        <vt:lpwstr/>
      </vt:variant>
      <vt:variant>
        <vt:lpwstr>_Toc209788797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Výtah IVS</dc:title>
  <dc:subject/>
  <dc:creator>svacina</dc:creator>
  <cp:keywords/>
  <dc:description/>
  <cp:lastModifiedBy>Miloš Mařík</cp:lastModifiedBy>
  <cp:revision>65</cp:revision>
  <dcterms:created xsi:type="dcterms:W3CDTF">2011-08-09T14:46:00Z</dcterms:created>
  <dcterms:modified xsi:type="dcterms:W3CDTF">2012-09-19T13:36:00Z</dcterms:modified>
</cp:coreProperties>
</file>